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11906" w:type="dxa"/>
        <w:tblInd w:w="-1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906"/>
      </w:tblGrid>
      <w:tr w14:paraId="0C108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242" w:hRule="atLeast"/>
        </w:trPr>
        <w:tc>
          <w:tcPr>
            <w:tcW w:w="11906" w:type="dxa"/>
            <w:tcBorders>
              <w:top w:val="nil"/>
              <w:left w:val="nil"/>
              <w:bottom w:val="nil"/>
              <w:right w:val="nil"/>
            </w:tcBorders>
            <w:shd w:val="clear" w:color="auto" w:fill="4C2A85"/>
            <w:tcMar>
              <w:top w:w="900" w:type="dxa"/>
              <w:left w:w="900" w:type="dxa"/>
              <w:bottom w:w="900" w:type="dxa"/>
              <w:right w:w="900" w:type="dxa"/>
            </w:tcMar>
          </w:tcPr>
          <w:p w14:paraId="75291E7F">
            <w:pPr>
              <w:spacing w:after="60"/>
            </w:pPr>
            <w:r>
              <w:rPr>
                <w:rFonts w:ascii="Inter" w:hAnsi="Inter" w:eastAsia="Noto Sans SC" w:cs="Inter"/>
                <w:b/>
                <w:bCs/>
                <w:color w:val="E6C574"/>
                <w:sz w:val="18"/>
                <w:szCs w:val="18"/>
              </w:rPr>
              <w:t>● INDUSTRY RESEARCH · 行业深度研究</w:t>
            </w:r>
          </w:p>
          <w:p w14:paraId="2AB68FE8">
            <w:pPr>
              <w:tabs>
                <w:tab w:val="center" w:pos="5053"/>
              </w:tabs>
              <w:spacing w:before="2600" w:after="40"/>
              <w:rPr>
                <w:rFonts w:hint="eastAsia" w:eastAsia="Noto Sans SC"/>
                <w:lang w:eastAsia="zh-CN"/>
              </w:rPr>
            </w:pPr>
            <w:r>
              <w:rPr>
                <w:rFonts w:ascii="Inter" w:hAnsi="Inter" w:eastAsia="Noto Sans SC" w:cs="Inter"/>
                <w:b/>
                <w:bCs/>
                <w:color w:val="D7CCEC"/>
                <w:sz w:val="28"/>
                <w:szCs w:val="28"/>
              </w:rPr>
              <w:t>H</w:t>
            </w:r>
            <w:r>
              <w:rPr>
                <w:rFonts w:hint="eastAsia" w:cs="Inter"/>
                <w:b/>
                <w:bCs/>
                <w:color w:val="D7CCEC"/>
                <w:sz w:val="28"/>
                <w:szCs w:val="28"/>
                <w:lang w:val="en-US" w:eastAsia="zh-CN"/>
              </w:rPr>
              <w:t>NIDA</w:t>
            </w:r>
            <w:r>
              <w:rPr>
                <w:rFonts w:ascii="Inter" w:hAnsi="Inter" w:eastAsia="Noto Sans SC" w:cs="Inter"/>
                <w:b/>
                <w:bCs/>
                <w:color w:val="D7CCEC"/>
                <w:sz w:val="28"/>
                <w:szCs w:val="28"/>
              </w:rPr>
              <w:t xml:space="preserve"> 2024</w:t>
            </w:r>
            <w:r>
              <w:rPr>
                <w:rFonts w:hint="eastAsia" w:cs="Inter"/>
                <w:b/>
                <w:bCs/>
                <w:color w:val="D7CCEC"/>
                <w:sz w:val="28"/>
                <w:szCs w:val="28"/>
                <w:lang w:eastAsia="zh-CN"/>
              </w:rPr>
              <w:tab/>
            </w:r>
          </w:p>
          <w:p w14:paraId="5D7DB87E">
            <w:pPr>
              <w:spacing w:after="0" w:line="300" w:lineRule="auto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56"/>
                <w:szCs w:val="56"/>
              </w:rPr>
              <w:t>2024 海南省室内装饰行业</w:t>
            </w:r>
          </w:p>
          <w:p w14:paraId="5B441DFF">
            <w:pPr>
              <w:spacing w:after="200" w:line="300" w:lineRule="auto"/>
            </w:pPr>
            <w:r>
              <w:rPr>
                <w:rFonts w:ascii="Inter" w:hAnsi="Inter" w:eastAsia="Noto Sans SC" w:cs="Inter"/>
                <w:b/>
                <w:bCs/>
                <w:color w:val="E6C574"/>
                <w:sz w:val="56"/>
                <w:szCs w:val="56"/>
              </w:rPr>
              <w:t>发展趋势</w:t>
            </w:r>
          </w:p>
          <w:p w14:paraId="0C41EAB4">
            <w:pPr>
              <w:spacing w:after="40"/>
            </w:pPr>
            <w:r>
              <w:rPr>
                <w:rFonts w:ascii="Inter" w:hAnsi="Inter" w:eastAsia="Noto Sans SC" w:cs="Inter"/>
                <w:color w:val="EDE7F6"/>
                <w:sz w:val="22"/>
                <w:szCs w:val="22"/>
              </w:rPr>
              <w:t>存量焕新 · 绿色装配 · 数智融</w:t>
            </w:r>
          </w:p>
          <w:p w14:paraId="36EA4DE1">
            <w:pPr>
              <w:spacing w:before="1800" w:after="0"/>
              <w:rPr>
                <w:sz w:val="22"/>
                <w:szCs w:val="22"/>
              </w:rPr>
            </w:pPr>
          </w:p>
          <w:tbl>
            <w:tblPr>
              <w:tblStyle w:val="11"/>
              <w:tblW w:w="7253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880"/>
              <w:gridCol w:w="4373"/>
            </w:tblGrid>
            <w:tr w14:paraId="6AB4B3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60" w:hRule="atLeast"/>
              </w:trPr>
              <w:tc>
                <w:tcPr>
                  <w:tcW w:w="2880" w:type="dxa"/>
                  <w:tcBorders>
                    <w:top w:val="single" w:color="C9BFE0" w:sz="4" w:space="0"/>
                    <w:left w:val="single" w:color="C9BFE0" w:sz="4" w:space="0"/>
                    <w:bottom w:val="single" w:color="C9BFE0" w:sz="4" w:space="0"/>
                    <w:right w:val="single" w:color="C9BFE0" w:sz="4" w:space="0"/>
                  </w:tcBorders>
                  <w:shd w:val="clear" w:color="auto" w:fill="F0EAF7"/>
                  <w:tcMar>
                    <w:top w:w="60" w:type="dxa"/>
                    <w:left w:w="110" w:type="dxa"/>
                    <w:bottom w:w="60" w:type="dxa"/>
                    <w:right w:w="110" w:type="dxa"/>
                  </w:tcMar>
                  <w:vAlign w:val="center"/>
                </w:tcPr>
                <w:p w14:paraId="1F9917BE">
                  <w:pPr>
                    <w:spacing w:after="0" w:line="240" w:lineRule="auto"/>
                    <w:jc w:val="left"/>
                    <w:rPr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Inter" w:hAnsi="Inter" w:eastAsia="Noto Sans SC" w:cs="Inter"/>
                      <w:b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研究范围</w:t>
                  </w:r>
                </w:p>
              </w:tc>
              <w:tc>
                <w:tcPr>
                  <w:tcW w:w="4373" w:type="dxa"/>
                  <w:tcBorders>
                    <w:top w:val="single" w:color="C9BFE0" w:sz="4" w:space="0"/>
                    <w:left w:val="single" w:color="C9BFE0" w:sz="4" w:space="0"/>
                    <w:bottom w:val="single" w:color="C9BFE0" w:sz="4" w:space="0"/>
                    <w:right w:val="single" w:color="C9BFE0" w:sz="4" w:space="0"/>
                  </w:tcBorders>
                  <w:tcMar>
                    <w:top w:w="60" w:type="dxa"/>
                    <w:left w:w="110" w:type="dxa"/>
                    <w:bottom w:w="60" w:type="dxa"/>
                    <w:right w:w="110" w:type="dxa"/>
                  </w:tcMar>
                  <w:vAlign w:val="center"/>
                </w:tcPr>
                <w:p w14:paraId="103D26E3">
                  <w:pPr>
                    <w:spacing w:after="0" w:line="240" w:lineRule="auto"/>
                    <w:jc w:val="left"/>
                    <w:rPr>
                      <w:color w:val="FFFFFF" w:themeColor="background1"/>
                      <w:sz w:val="22"/>
                      <w:szCs w:val="22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Inter" w:hAnsi="Inter" w:eastAsia="Noto Sans SC" w:cs="Inter"/>
                      <w:b w:val="0"/>
                      <w:bCs w:val="0"/>
                      <w:color w:val="FFFFFF" w:themeColor="background1"/>
                      <w:sz w:val="21"/>
                      <w:szCs w:val="21"/>
                      <w14:textFill>
                        <w14:solidFill>
                          <w14:schemeClr w14:val="bg1"/>
                        </w14:solidFill>
                      </w14:textFill>
                    </w:rPr>
                    <w:t>海南省室内装饰（家装 / 公装 / 工装）</w:t>
                  </w:r>
                </w:p>
              </w:tc>
            </w:tr>
            <w:tr w14:paraId="10BC46D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60" w:hRule="atLeast"/>
              </w:trPr>
              <w:tc>
                <w:tcPr>
                  <w:tcW w:w="2880" w:type="dxa"/>
                  <w:tcBorders>
                    <w:top w:val="single" w:color="C9BFE0" w:sz="4" w:space="0"/>
                    <w:left w:val="single" w:color="C9BFE0" w:sz="4" w:space="0"/>
                    <w:bottom w:val="single" w:color="C9BFE0" w:sz="4" w:space="0"/>
                    <w:right w:val="single" w:color="C9BFE0" w:sz="4" w:space="0"/>
                  </w:tcBorders>
                  <w:shd w:val="clear" w:color="auto" w:fill="F0EAF7"/>
                  <w:tcMar>
                    <w:top w:w="60" w:type="dxa"/>
                    <w:left w:w="110" w:type="dxa"/>
                    <w:bottom w:w="60" w:type="dxa"/>
                    <w:right w:w="110" w:type="dxa"/>
                  </w:tcMar>
                  <w:vAlign w:val="center"/>
                </w:tcPr>
                <w:p w14:paraId="76FEFD45">
                  <w:pPr>
                    <w:spacing w:after="0" w:line="240" w:lineRule="auto"/>
                    <w:jc w:val="left"/>
                    <w:rPr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Inter" w:hAnsi="Inter" w:eastAsia="Noto Sans SC" w:cs="Inter"/>
                      <w:b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报告期</w:t>
                  </w:r>
                </w:p>
              </w:tc>
              <w:tc>
                <w:tcPr>
                  <w:tcW w:w="4373" w:type="dxa"/>
                  <w:tcBorders>
                    <w:top w:val="single" w:color="C9BFE0" w:sz="4" w:space="0"/>
                    <w:left w:val="single" w:color="C9BFE0" w:sz="4" w:space="0"/>
                    <w:bottom w:val="single" w:color="C9BFE0" w:sz="4" w:space="0"/>
                    <w:right w:val="single" w:color="C9BFE0" w:sz="4" w:space="0"/>
                  </w:tcBorders>
                  <w:tcMar>
                    <w:top w:w="60" w:type="dxa"/>
                    <w:left w:w="110" w:type="dxa"/>
                    <w:bottom w:w="60" w:type="dxa"/>
                    <w:right w:w="110" w:type="dxa"/>
                  </w:tcMar>
                  <w:vAlign w:val="center"/>
                </w:tcPr>
                <w:p w14:paraId="425F4959">
                  <w:pPr>
                    <w:spacing w:after="0" w:line="240" w:lineRule="auto"/>
                    <w:jc w:val="left"/>
                    <w:rPr>
                      <w:color w:val="FFFFFF" w:themeColor="background1"/>
                      <w:sz w:val="22"/>
                      <w:szCs w:val="22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Inter" w:hAnsi="Inter" w:eastAsia="Noto Sans SC" w:cs="Inter"/>
                      <w:b w:val="0"/>
                      <w:bCs w:val="0"/>
                      <w:color w:val="FFFFFF" w:themeColor="background1"/>
                      <w:sz w:val="21"/>
                      <w:szCs w:val="21"/>
                      <w14:textFill>
                        <w14:solidFill>
                          <w14:schemeClr w14:val="bg1"/>
                        </w14:solidFill>
                      </w14:textFill>
                    </w:rPr>
                    <w:t>2024 年度 + 2025 展望</w:t>
                  </w:r>
                </w:p>
              </w:tc>
            </w:tr>
            <w:tr w14:paraId="0D1E251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60" w:hRule="atLeast"/>
              </w:trPr>
              <w:tc>
                <w:tcPr>
                  <w:tcW w:w="2880" w:type="dxa"/>
                  <w:tcBorders>
                    <w:top w:val="single" w:color="C9BFE0" w:sz="4" w:space="0"/>
                    <w:left w:val="single" w:color="C9BFE0" w:sz="4" w:space="0"/>
                    <w:bottom w:val="single" w:color="C9BFE0" w:sz="4" w:space="0"/>
                    <w:right w:val="single" w:color="C9BFE0" w:sz="4" w:space="0"/>
                  </w:tcBorders>
                  <w:shd w:val="clear" w:color="auto" w:fill="F0EAF7"/>
                  <w:tcMar>
                    <w:top w:w="60" w:type="dxa"/>
                    <w:left w:w="110" w:type="dxa"/>
                    <w:bottom w:w="60" w:type="dxa"/>
                    <w:right w:w="110" w:type="dxa"/>
                  </w:tcMar>
                  <w:vAlign w:val="center"/>
                </w:tcPr>
                <w:p w14:paraId="4FC39252">
                  <w:pPr>
                    <w:spacing w:after="0" w:line="240" w:lineRule="auto"/>
                    <w:jc w:val="left"/>
                    <w:rPr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Inter" w:hAnsi="Inter" w:eastAsia="Noto Sans SC" w:cs="Inter"/>
                      <w:b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数据口径</w:t>
                  </w:r>
                </w:p>
              </w:tc>
              <w:tc>
                <w:tcPr>
                  <w:tcW w:w="4373" w:type="dxa"/>
                  <w:tcBorders>
                    <w:top w:val="single" w:color="C9BFE0" w:sz="4" w:space="0"/>
                    <w:left w:val="single" w:color="C9BFE0" w:sz="4" w:space="0"/>
                    <w:bottom w:val="single" w:color="C9BFE0" w:sz="4" w:space="0"/>
                    <w:right w:val="single" w:color="C9BFE0" w:sz="4" w:space="0"/>
                  </w:tcBorders>
                  <w:tcMar>
                    <w:top w:w="60" w:type="dxa"/>
                    <w:left w:w="110" w:type="dxa"/>
                    <w:bottom w:w="60" w:type="dxa"/>
                    <w:right w:w="110" w:type="dxa"/>
                  </w:tcMar>
                  <w:vAlign w:val="center"/>
                </w:tcPr>
                <w:p w14:paraId="1DA2EF7D">
                  <w:pPr>
                    <w:spacing w:after="0" w:line="240" w:lineRule="auto"/>
                    <w:jc w:val="left"/>
                    <w:rPr>
                      <w:color w:val="FFFFFF" w:themeColor="background1"/>
                      <w:sz w:val="22"/>
                      <w:szCs w:val="22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Inter" w:hAnsi="Inter" w:eastAsia="Noto Sans SC" w:cs="Inter"/>
                      <w:b w:val="0"/>
                      <w:bCs w:val="0"/>
                      <w:color w:val="FFFFFF" w:themeColor="background1"/>
                      <w:sz w:val="21"/>
                      <w:szCs w:val="21"/>
                      <w14:textFill>
                        <w14:solidFill>
                          <w14:schemeClr w14:val="bg1"/>
                        </w14:solidFill>
                      </w14:textFill>
                    </w:rPr>
                    <w:t>省统计部门、住建部门、行业协会公开数据</w:t>
                  </w:r>
                </w:p>
              </w:tc>
            </w:tr>
            <w:tr w14:paraId="7CBBA9F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60" w:hRule="atLeast"/>
              </w:trPr>
              <w:tc>
                <w:tcPr>
                  <w:tcW w:w="2880" w:type="dxa"/>
                  <w:tcBorders>
                    <w:top w:val="single" w:color="C9BFE0" w:sz="4" w:space="0"/>
                    <w:left w:val="single" w:color="C9BFE0" w:sz="4" w:space="0"/>
                    <w:bottom w:val="single" w:color="C9BFE0" w:sz="4" w:space="0"/>
                    <w:right w:val="single" w:color="C9BFE0" w:sz="4" w:space="0"/>
                  </w:tcBorders>
                  <w:shd w:val="clear" w:color="auto" w:fill="F0EAF7"/>
                  <w:tcMar>
                    <w:top w:w="60" w:type="dxa"/>
                    <w:left w:w="110" w:type="dxa"/>
                    <w:bottom w:w="60" w:type="dxa"/>
                    <w:right w:w="110" w:type="dxa"/>
                  </w:tcMar>
                  <w:vAlign w:val="center"/>
                </w:tcPr>
                <w:p w14:paraId="2ADE43D8">
                  <w:pPr>
                    <w:spacing w:after="0" w:line="240" w:lineRule="auto"/>
                    <w:jc w:val="left"/>
                    <w:rPr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ascii="Inter" w:hAnsi="Inter" w:eastAsia="Noto Sans SC" w:cs="Inter"/>
                      <w:b/>
                      <w:bCs/>
                      <w:color w:val="000000" w:themeColor="text1"/>
                      <w:sz w:val="2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w:t>报告类型</w:t>
                  </w:r>
                </w:p>
              </w:tc>
              <w:tc>
                <w:tcPr>
                  <w:tcW w:w="4373" w:type="dxa"/>
                  <w:tcBorders>
                    <w:top w:val="single" w:color="C9BFE0" w:sz="4" w:space="0"/>
                    <w:left w:val="single" w:color="C9BFE0" w:sz="4" w:space="0"/>
                    <w:bottom w:val="single" w:color="C9BFE0" w:sz="4" w:space="0"/>
                    <w:right w:val="single" w:color="C9BFE0" w:sz="4" w:space="0"/>
                  </w:tcBorders>
                  <w:tcMar>
                    <w:top w:w="60" w:type="dxa"/>
                    <w:left w:w="110" w:type="dxa"/>
                    <w:bottom w:w="60" w:type="dxa"/>
                    <w:right w:w="110" w:type="dxa"/>
                  </w:tcMar>
                  <w:vAlign w:val="center"/>
                </w:tcPr>
                <w:p w14:paraId="2116EE43">
                  <w:pPr>
                    <w:spacing w:after="0" w:line="240" w:lineRule="auto"/>
                    <w:jc w:val="left"/>
                    <w:rPr>
                      <w:color w:val="FFFFFF" w:themeColor="background1"/>
                      <w:sz w:val="22"/>
                      <w:szCs w:val="22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ascii="Inter" w:hAnsi="Inter" w:eastAsia="Noto Sans SC" w:cs="Inter"/>
                      <w:b w:val="0"/>
                      <w:bCs w:val="0"/>
                      <w:color w:val="FFFFFF" w:themeColor="background1"/>
                      <w:sz w:val="21"/>
                      <w:szCs w:val="21"/>
                      <w14:textFill>
                        <w14:solidFill>
                          <w14:schemeClr w14:val="bg1"/>
                        </w14:solidFill>
                      </w14:textFill>
                    </w:rPr>
                    <w:t>行业趋势研究（文字 + 数据）</w:t>
                  </w:r>
                </w:p>
              </w:tc>
            </w:tr>
            <w:tr w14:paraId="45C761D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69" w:hRule="atLeast"/>
              </w:trPr>
              <w:tc>
                <w:tcPr>
                  <w:tcW w:w="2880" w:type="dxa"/>
                  <w:tcBorders>
                    <w:top w:val="single" w:color="C9BFE0" w:sz="4" w:space="0"/>
                    <w:left w:val="single" w:color="C9BFE0" w:sz="4" w:space="0"/>
                    <w:bottom w:val="single" w:color="C9BFE0" w:sz="4" w:space="0"/>
                    <w:right w:val="single" w:color="C9BFE0" w:sz="4" w:space="0"/>
                  </w:tcBorders>
                  <w:shd w:val="clear" w:color="auto" w:fill="F0EAF7"/>
                  <w:tcMar>
                    <w:top w:w="60" w:type="dxa"/>
                    <w:left w:w="110" w:type="dxa"/>
                    <w:bottom w:w="60" w:type="dxa"/>
                    <w:right w:w="110" w:type="dxa"/>
                  </w:tcMar>
                  <w:vAlign w:val="center"/>
                </w:tcPr>
                <w:p w14:paraId="7B1EFC50">
                  <w:pPr>
                    <w:spacing w:after="0" w:line="240" w:lineRule="auto"/>
                    <w:jc w:val="left"/>
                    <w:rPr>
                      <w:rFonts w:hint="default" w:ascii="Inter" w:hAnsi="Inter" w:eastAsia="Noto Sans SC" w:cs="Inter"/>
                      <w:b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cs="Inter"/>
                      <w:b/>
                      <w:bCs/>
                      <w:color w:val="000000" w:themeColor="text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tx1"/>
                        </w14:solidFill>
                      </w14:textFill>
                    </w:rPr>
                    <w:t>报告单位</w:t>
                  </w:r>
                </w:p>
              </w:tc>
              <w:tc>
                <w:tcPr>
                  <w:tcW w:w="4373" w:type="dxa"/>
                  <w:tcBorders>
                    <w:top w:val="single" w:color="C9BFE0" w:sz="4" w:space="0"/>
                    <w:left w:val="single" w:color="C9BFE0" w:sz="4" w:space="0"/>
                    <w:bottom w:val="single" w:color="C9BFE0" w:sz="4" w:space="0"/>
                    <w:right w:val="single" w:color="C9BFE0" w:sz="4" w:space="0"/>
                  </w:tcBorders>
                  <w:tcMar>
                    <w:top w:w="60" w:type="dxa"/>
                    <w:left w:w="110" w:type="dxa"/>
                    <w:bottom w:w="60" w:type="dxa"/>
                    <w:right w:w="110" w:type="dxa"/>
                  </w:tcMar>
                  <w:vAlign w:val="center"/>
                </w:tcPr>
                <w:p w14:paraId="188CB7AC">
                  <w:pPr>
                    <w:spacing w:after="0" w:line="240" w:lineRule="auto"/>
                    <w:jc w:val="left"/>
                    <w:rPr>
                      <w:rFonts w:hint="default" w:ascii="Inter" w:hAnsi="Inter" w:eastAsia="Noto Sans SC" w:cs="Inter"/>
                      <w:b w:val="0"/>
                      <w:bCs w:val="0"/>
                      <w:color w:val="FFFFFF" w:themeColor="background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bg1"/>
                        </w14:solidFill>
                      </w14:textFill>
                    </w:rPr>
                  </w:pPr>
                  <w:r>
                    <w:rPr>
                      <w:rFonts w:hint="eastAsia" w:cs="Inter"/>
                      <w:b w:val="0"/>
                      <w:bCs w:val="0"/>
                      <w:color w:val="FFFFFF" w:themeColor="background1"/>
                      <w:sz w:val="21"/>
                      <w:szCs w:val="21"/>
                      <w:lang w:val="en-US" w:eastAsia="zh-CN"/>
                      <w14:textFill>
                        <w14:solidFill>
                          <w14:schemeClr w14:val="bg1"/>
                        </w14:solidFill>
                      </w14:textFill>
                    </w:rPr>
                    <w:t>海南省室内装饰协会</w:t>
                  </w:r>
                </w:p>
              </w:tc>
            </w:tr>
          </w:tbl>
          <w:p w14:paraId="2061196D">
            <w:r>
              <w:br w:type="page"/>
            </w:r>
          </w:p>
        </w:tc>
      </w:tr>
    </w:tbl>
    <w:p w14:paraId="7E07E94E">
      <w:pPr>
        <w:spacing w:after="140" w:line="288" w:lineRule="auto"/>
        <w:jc w:val="both"/>
        <w:rPr>
          <w:rFonts w:ascii="Inter" w:hAnsi="Inter" w:eastAsia="Noto Sans SC" w:cs="Inter"/>
          <w:b/>
          <w:bCs/>
          <w:sz w:val="20"/>
          <w:szCs w:val="20"/>
        </w:rPr>
      </w:pPr>
    </w:p>
    <w:p w14:paraId="0B27AE8E">
      <w:pPr>
        <w:spacing w:after="140" w:line="288" w:lineRule="auto"/>
        <w:jc w:val="both"/>
        <w:rPr>
          <w:rFonts w:hint="eastAsia" w:ascii="Inter" w:hAnsi="Inter" w:eastAsia="Noto Sans SC" w:cs="Inter"/>
          <w:b/>
          <w:bCs/>
          <w:sz w:val="20"/>
          <w:szCs w:val="20"/>
          <w:lang w:val="en-US" w:eastAsia="zh-CN"/>
        </w:rPr>
      </w:pPr>
      <w:r>
        <w:rPr>
          <w:rFonts w:hint="eastAsia" w:cs="Inter"/>
          <w:b/>
          <w:bCs/>
          <w:sz w:val="20"/>
          <w:szCs w:val="20"/>
          <w:lang w:val="en-US" w:eastAsia="zh-CN"/>
        </w:rPr>
        <w:t>前言：</w:t>
      </w:r>
    </w:p>
    <w:p w14:paraId="3F2A082A">
      <w:pPr>
        <w:spacing w:after="140" w:line="288" w:lineRule="auto"/>
        <w:ind w:firstLine="400" w:firstLineChars="200"/>
        <w:jc w:val="both"/>
        <w:rPr>
          <w:rFonts w:ascii="Inter" w:hAnsi="Inter" w:eastAsia="Noto Sans SC" w:cs="Inter"/>
          <w:b/>
          <w:bCs/>
          <w:sz w:val="20"/>
          <w:szCs w:val="20"/>
        </w:rPr>
      </w:pPr>
      <w:r>
        <w:rPr>
          <w:rFonts w:hint="eastAsia" w:ascii="Inter" w:hAnsi="Inter" w:eastAsia="Noto Sans SC" w:cs="Inter"/>
          <w:b/>
          <w:bCs/>
          <w:sz w:val="20"/>
          <w:szCs w:val="20"/>
        </w:rPr>
        <w:t>2024 年是海南室内装饰行业从「增量新房」切换至「存量焕新」的关键一年。全省房地产开发投资与新建商品房销售面积双双转正，叠加装配式建筑占比突破 75%、家装以旧换新补贴落地、老旧小区改造全面开工三重政策驱动，行业呈现「总量平稳、结构剧变、头部集中」的特征。</w:t>
      </w:r>
    </w:p>
    <w:p w14:paraId="1C1D6173">
      <w:pPr>
        <w:spacing w:after="140" w:line="288" w:lineRule="auto"/>
        <w:jc w:val="both"/>
        <w:rPr>
          <w:rFonts w:hint="eastAsia" w:ascii="Inter" w:hAnsi="Inter" w:eastAsia="Noto Sans SC" w:cs="Inter"/>
          <w:sz w:val="20"/>
          <w:szCs w:val="20"/>
          <w:lang w:eastAsia="zh-CN"/>
        </w:rPr>
      </w:pPr>
      <w:r>
        <w:rPr>
          <w:rFonts w:ascii="Inter" w:hAnsi="Inter" w:eastAsia="Noto Sans SC" w:cs="Inter"/>
          <w:b/>
          <w:bCs/>
          <w:sz w:val="20"/>
          <w:szCs w:val="20"/>
        </w:rPr>
        <w:t>需求端：</w:t>
      </w:r>
      <w:r>
        <w:rPr>
          <w:rFonts w:ascii="Inter" w:hAnsi="Inter" w:eastAsia="Noto Sans SC" w:cs="Inter"/>
          <w:sz w:val="20"/>
          <w:szCs w:val="20"/>
        </w:rPr>
        <w:t xml:space="preserve">全国家装市场进入存量时代（旧房装修占比 63%），海南同步切换；全省商品房销售面积虽增长 </w:t>
      </w:r>
      <w:r>
        <w:rPr>
          <w:rFonts w:ascii="Inter" w:hAnsi="Inter" w:eastAsia="Noto Sans SC" w:cs="Inter"/>
          <w:b/>
          <w:bCs/>
          <w:color w:val="D23B2E"/>
          <w:sz w:val="20"/>
          <w:szCs w:val="20"/>
        </w:rPr>
        <w:t>3.6%</w:t>
      </w:r>
      <w:r>
        <w:rPr>
          <w:rFonts w:ascii="Inter" w:hAnsi="Inter" w:eastAsia="Noto Sans SC" w:cs="Inter"/>
          <w:sz w:val="20"/>
          <w:szCs w:val="20"/>
        </w:rPr>
        <w:t xml:space="preserve">，但施工面积下降 </w:t>
      </w:r>
      <w:r>
        <w:rPr>
          <w:rFonts w:ascii="Inter" w:hAnsi="Inter" w:eastAsia="Noto Sans SC" w:cs="Inter"/>
          <w:b/>
          <w:bCs/>
          <w:color w:val="D23B2E"/>
          <w:sz w:val="20"/>
          <w:szCs w:val="20"/>
        </w:rPr>
        <w:t>7.4%</w:t>
      </w:r>
      <w:r>
        <w:rPr>
          <w:rFonts w:ascii="Inter" w:hAnsi="Inter" w:eastAsia="Noto Sans SC" w:cs="Inter"/>
          <w:sz w:val="20"/>
          <w:szCs w:val="20"/>
        </w:rPr>
        <w:t>，装饰产值小幅回落，说明增量红利正在收缩</w:t>
      </w:r>
      <w:r>
        <w:rPr>
          <w:rFonts w:hint="eastAsia" w:cs="Inter"/>
          <w:sz w:val="20"/>
          <w:szCs w:val="20"/>
          <w:lang w:eastAsia="zh-CN"/>
        </w:rPr>
        <w:t>。</w:t>
      </w:r>
    </w:p>
    <w:p w14:paraId="15EFF9C8">
      <w:pPr>
        <w:numPr>
          <w:ilvl w:val="0"/>
          <w:numId w:val="0"/>
        </w:numPr>
        <w:spacing w:before="60" w:after="160"/>
        <w:rPr>
          <w:rFonts w:ascii="Inter" w:hAnsi="Inter" w:eastAsia="Noto Sans SC" w:cs="Inter"/>
          <w:sz w:val="20"/>
          <w:szCs w:val="20"/>
        </w:rPr>
      </w:pPr>
      <w:r>
        <w:rPr>
          <w:rFonts w:ascii="Inter" w:hAnsi="Inter" w:eastAsia="Noto Sans SC" w:cs="Inter"/>
          <w:b/>
          <w:bCs/>
          <w:sz w:val="20"/>
          <w:szCs w:val="20"/>
        </w:rPr>
        <w:t>供给端：</w:t>
      </w:r>
      <w:r>
        <w:rPr>
          <w:rFonts w:ascii="Inter" w:hAnsi="Inter" w:eastAsia="Noto Sans SC" w:cs="Inter"/>
          <w:sz w:val="20"/>
          <w:szCs w:val="20"/>
        </w:rPr>
        <w:t>装配式内装修技术标准落地、全装修设计标准修订，绿色建筑占比超 90%</w:t>
      </w:r>
      <w:r>
        <w:rPr>
          <w:rFonts w:hint="eastAsia" w:cs="Inter"/>
          <w:sz w:val="20"/>
          <w:szCs w:val="20"/>
          <w:lang w:eastAsia="zh-CN"/>
        </w:rPr>
        <w:t>，</w:t>
      </w:r>
      <w:r>
        <w:rPr>
          <w:rFonts w:ascii="Inter" w:hAnsi="Inter" w:eastAsia="Noto Sans SC" w:cs="Inter"/>
          <w:b/>
          <w:bCs/>
          <w:sz w:val="20"/>
          <w:szCs w:val="20"/>
        </w:rPr>
        <w:t>「标准化内装部品 + 工厂预制」</w:t>
      </w:r>
      <w:r>
        <w:rPr>
          <w:rFonts w:ascii="Inter" w:hAnsi="Inter" w:eastAsia="Noto Sans SC" w:cs="Inter"/>
          <w:sz w:val="20"/>
          <w:szCs w:val="20"/>
        </w:rPr>
        <w:t>成为确定性主线。</w:t>
      </w:r>
    </w:p>
    <w:p w14:paraId="173555DD">
      <w:pPr>
        <w:numPr>
          <w:ilvl w:val="0"/>
          <w:numId w:val="0"/>
        </w:numPr>
        <w:spacing w:before="60" w:after="160"/>
      </w:pPr>
      <w:r>
        <w:rPr>
          <w:rFonts w:ascii="Inter" w:hAnsi="Inter" w:eastAsia="Noto Sans SC" w:cs="Inter"/>
          <w:b/>
          <w:bCs/>
          <w:color w:val="4C2A85"/>
          <w:sz w:val="20"/>
          <w:szCs w:val="20"/>
        </w:rPr>
        <w:t xml:space="preserve"> </w:t>
      </w:r>
      <w:r>
        <w:rPr>
          <w:rFonts w:ascii="Inter" w:hAnsi="Inter" w:eastAsia="Noto Sans SC" w:cs="Inter"/>
          <w:b/>
          <w:bCs/>
          <w:sz w:val="20"/>
          <w:szCs w:val="20"/>
        </w:rPr>
        <w:t>消费端：</w:t>
      </w:r>
      <w:r>
        <w:rPr>
          <w:rFonts w:ascii="Inter" w:hAnsi="Inter" w:eastAsia="Noto Sans SC" w:cs="Inter"/>
          <w:sz w:val="20"/>
          <w:szCs w:val="20"/>
        </w:rPr>
        <w:t xml:space="preserve">16 类家装家居产品 15% 补贴拉动，家具类 12 月单月增长 </w:t>
      </w:r>
      <w:r>
        <w:rPr>
          <w:rFonts w:ascii="Inter" w:hAnsi="Inter" w:eastAsia="Noto Sans SC" w:cs="Inter"/>
          <w:b/>
          <w:bCs/>
          <w:color w:val="D23B2E"/>
          <w:sz w:val="20"/>
          <w:szCs w:val="20"/>
        </w:rPr>
        <w:t>1.3 倍</w:t>
      </w:r>
      <w:r>
        <w:rPr>
          <w:rFonts w:ascii="Inter" w:hAnsi="Inter" w:eastAsia="Noto Sans SC" w:cs="Inter"/>
          <w:sz w:val="20"/>
          <w:szCs w:val="20"/>
        </w:rPr>
        <w:t xml:space="preserve">、装潢材料增长 </w:t>
      </w:r>
      <w:r>
        <w:rPr>
          <w:rFonts w:ascii="Inter" w:hAnsi="Inter" w:eastAsia="Noto Sans SC" w:cs="Inter"/>
          <w:b/>
          <w:bCs/>
          <w:color w:val="D23B2E"/>
          <w:sz w:val="20"/>
          <w:szCs w:val="20"/>
        </w:rPr>
        <w:t>2.4 倍</w:t>
      </w:r>
      <w:r>
        <w:rPr>
          <w:rFonts w:ascii="Inter" w:hAnsi="Inter" w:eastAsia="Noto Sans SC" w:cs="Inter"/>
          <w:sz w:val="20"/>
          <w:szCs w:val="20"/>
        </w:rPr>
        <w:t>，全年社零虽降 4.2%，但政策相关品类逆势走强。</w:t>
      </w:r>
    </w:p>
    <w:p w14:paraId="1CA5E72D">
      <w:pPr>
        <w:spacing w:after="160"/>
      </w:pPr>
      <w:r>
        <w:rPr>
          <w:rFonts w:ascii="Inter" w:hAnsi="Inter" w:eastAsia="Noto Sans SC" w:cs="Inter"/>
          <w:b/>
          <w:bCs/>
          <w:sz w:val="20"/>
          <w:szCs w:val="20"/>
        </w:rPr>
        <w:t>结构端：</w:t>
      </w:r>
      <w:r>
        <w:rPr>
          <w:rFonts w:ascii="Inter" w:hAnsi="Inter" w:eastAsia="Noto Sans SC" w:cs="Inter"/>
          <w:sz w:val="20"/>
          <w:szCs w:val="20"/>
        </w:rPr>
        <w:t>文旅客流 9720 万人次、旅游花费 2040 亿元，带动酒店民宿与度假物业装饰需求；与此同时，超强台风「摩羯」催生门窗、防水、吊顶等灾后修缮刚性需求。</w:t>
      </w:r>
    </w:p>
    <w:p w14:paraId="65B6BFF8">
      <w:pPr>
        <w:spacing w:after="60"/>
      </w:pPr>
      <w:r>
        <w:rPr>
          <w:rFonts w:ascii="Inter" w:hAnsi="Inter" w:eastAsia="Noto Sans SC" w:cs="Inter"/>
          <w:b/>
          <w:bCs/>
          <w:sz w:val="20"/>
          <w:szCs w:val="20"/>
        </w:rPr>
        <w:t>风险与机会并存：</w:t>
      </w:r>
      <w:r>
        <w:rPr>
          <w:rFonts w:ascii="Inter" w:hAnsi="Inter" w:eastAsia="Noto Sans SC" w:cs="Inter"/>
          <w:sz w:val="20"/>
          <w:szCs w:val="20"/>
        </w:rPr>
        <w:t>行业集中度低、设计价值被低估、施工安全事故频发仍是痛点；但 2025 年封关运作与城市更新扩围，将打开增量空间。</w:t>
      </w:r>
    </w:p>
    <w:p w14:paraId="67FBE91C">
      <w:pPr>
        <w:pStyle w:val="2"/>
        <w:pBdr>
          <w:bottom w:val="single" w:color="4C2A85" w:sz="12" w:space="4"/>
        </w:pBdr>
        <w:spacing w:before="220" w:after="120"/>
      </w:pPr>
      <w:r>
        <w:rPr>
          <w:rFonts w:ascii="Inter" w:hAnsi="Inter" w:eastAsia="Noto Sans SC" w:cs="Inter"/>
          <w:b/>
          <w:bCs/>
          <w:color w:val="4C2A85"/>
          <w:sz w:val="26"/>
          <w:szCs w:val="26"/>
        </w:rPr>
        <w:t xml:space="preserve">  一、行业规模与市场基础</w:t>
      </w:r>
    </w:p>
    <w:p w14:paraId="533BDBB7">
      <w:pPr>
        <w:pStyle w:val="3"/>
        <w:spacing w:before="160" w:after="80"/>
      </w:pPr>
      <w:r>
        <w:rPr>
          <w:rFonts w:ascii="Inter" w:hAnsi="Inter" w:eastAsia="Noto Sans SC" w:cs="Inter"/>
          <w:color w:val="E6C574"/>
          <w:sz w:val="22"/>
          <w:szCs w:val="22"/>
        </w:rPr>
        <w:t>▎</w:t>
      </w:r>
      <w:r>
        <w:rPr>
          <w:rFonts w:ascii="Inter" w:hAnsi="Inter" w:eastAsia="Noto Sans SC" w:cs="Inter"/>
          <w:b/>
          <w:bCs/>
          <w:color w:val="222222"/>
          <w:sz w:val="22"/>
          <w:szCs w:val="22"/>
        </w:rPr>
        <w:t>1.1 宏观底盘：建筑业与房地产企稳回升</w:t>
      </w:r>
    </w:p>
    <w:p w14:paraId="37C7BEEA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2024 年海南地区生产总值 7935.69 亿元，同比增长 3.7%；建筑业实现增加值 587.73 亿元，同比增长 6.2%，增速较前三季度大幅提升 5.2 个百分点，是全岛经济回升的重要支撑。全省资质内建筑业企业 541 家，房屋建筑施工面积 1830.60 万平方米，同比下降 13.8%——「增加值增长、施工面积下降」的背离，反映出装饰装修环节在单位面积上的价值密度正在提升。</w:t>
      </w:r>
    </w:p>
    <w:p w14:paraId="6BEA34C1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房地产方面，全年房地产开发投资 1207.63 亿元，同比增长 3.3%；新建商品房销售面积 938.29 万平方米，增长 3.6%；销售额 1409.64 亿元，下降 6.1%。开发投资与销售面积实现正增长，且明显好于全国平均水平，但「以价换量」特征明显，销售额与面积走势背离。对装饰行业而言，这意味着新建精装房、安居房的交付量保持稳定，是住宅装饰的基本盘。</w:t>
      </w:r>
    </w:p>
    <w:p w14:paraId="501AD4C8">
      <w:pPr>
        <w:spacing w:before="60" w:after="40"/>
      </w:pPr>
      <w:r>
        <w:rPr>
          <w:rFonts w:ascii="Inter" w:hAnsi="Inter" w:eastAsia="Noto Sans SC" w:cs="Inter"/>
          <w:i w:val="0"/>
          <w:iCs w:val="0"/>
          <w:color w:val="595959"/>
          <w:sz w:val="16"/>
          <w:szCs w:val="16"/>
        </w:rPr>
        <w:t>表 1　2024 年海南装饰行业相关核心宏观指标</w:t>
      </w:r>
    </w:p>
    <w:tbl>
      <w:tblPr>
        <w:tblStyle w:val="11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000"/>
        <w:gridCol w:w="2000"/>
        <w:gridCol w:w="2000"/>
        <w:gridCol w:w="2638"/>
      </w:tblGrid>
      <w:tr w14:paraId="2C1A5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E2C814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指标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FFBF58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2024 年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87B01B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同比增速</w:t>
            </w:r>
          </w:p>
        </w:tc>
        <w:tc>
          <w:tcPr>
            <w:tcW w:w="2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632C30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对装饰业含义</w:t>
            </w:r>
          </w:p>
        </w:tc>
      </w:tr>
      <w:tr w14:paraId="48AD3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B9710C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建筑业增加值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EC078A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587.73 亿元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15EA38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+6.2%</w:t>
            </w:r>
          </w:p>
        </w:tc>
        <w:tc>
          <w:tcPr>
            <w:tcW w:w="2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FDDE23C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公装需求景气回升</w:t>
            </w:r>
          </w:p>
        </w:tc>
      </w:tr>
      <w:tr w14:paraId="556DB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C72906F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房地产开发投资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89DD1B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1207.63 亿元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15CD2E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+3.3%</w:t>
            </w:r>
          </w:p>
        </w:tc>
        <w:tc>
          <w:tcPr>
            <w:tcW w:w="2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12A338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新建住宅基本盘稳定</w:t>
            </w:r>
          </w:p>
        </w:tc>
      </w:tr>
      <w:tr w14:paraId="6792A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C06705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新建商品房销售面积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807F9C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938.29 万㎡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706BAC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+3.6%</w:t>
            </w:r>
          </w:p>
        </w:tc>
        <w:tc>
          <w:tcPr>
            <w:tcW w:w="2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7C458C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精装交付量有保障</w:t>
            </w:r>
          </w:p>
        </w:tc>
      </w:tr>
      <w:tr w14:paraId="62A81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FA8D97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商品房销售额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830C4D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1409.64 亿元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8E11CB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-6.1%</w:t>
            </w:r>
          </w:p>
        </w:tc>
        <w:tc>
          <w:tcPr>
            <w:tcW w:w="2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3C9C65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以价换量，客单承压</w:t>
            </w:r>
          </w:p>
        </w:tc>
      </w:tr>
      <w:tr w14:paraId="3870C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E41F22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固定资产投资（不含农户）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485AEE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—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6F2259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+7.1%</w:t>
            </w:r>
          </w:p>
        </w:tc>
        <w:tc>
          <w:tcPr>
            <w:tcW w:w="2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EDEB0B7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产业/基建投资扩张</w:t>
            </w:r>
          </w:p>
        </w:tc>
      </w:tr>
      <w:tr w14:paraId="7FCC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8A7B31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建筑业装饰装修产值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9F8AB7E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21.35 亿元</w:t>
            </w:r>
          </w:p>
        </w:tc>
        <w:tc>
          <w:tcPr>
            <w:tcW w:w="2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A0FEA1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-4.4%</w:t>
            </w:r>
          </w:p>
        </w:tc>
        <w:tc>
          <w:tcPr>
            <w:tcW w:w="2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D9EE80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本省口径小幅回落</w:t>
            </w:r>
          </w:p>
        </w:tc>
      </w:tr>
    </w:tbl>
    <w:p w14:paraId="49847BA0">
      <w:pPr>
        <w:spacing w:before="30" w:after="140"/>
        <w:jc w:val="right"/>
      </w:pPr>
      <w:r>
        <w:rPr>
          <w:rFonts w:ascii="Inter" w:hAnsi="Inter" w:eastAsia="Noto Sans SC" w:cs="Inter"/>
          <w:color w:val="888888"/>
          <w:sz w:val="15"/>
          <w:szCs w:val="15"/>
        </w:rPr>
        <w:t>注：装饰装修产值为本省资质内建筑业企业口径，不含在外省完成产值（32.09 亿元，+13.9%）；数据来源：海南省统计局、海南省 2024 年国民经济和社会发展统计公报。</w:t>
      </w:r>
    </w:p>
    <w:p w14:paraId="55F56C9F">
      <w:pPr>
        <w:pStyle w:val="3"/>
        <w:spacing w:before="160" w:after="80"/>
      </w:pPr>
      <w:r>
        <w:rPr>
          <w:rFonts w:ascii="Inter" w:hAnsi="Inter" w:eastAsia="Noto Sans SC" w:cs="Inter"/>
          <w:color w:val="E6C574"/>
          <w:sz w:val="22"/>
          <w:szCs w:val="22"/>
        </w:rPr>
        <w:t>▎</w:t>
      </w:r>
      <w:r>
        <w:rPr>
          <w:rFonts w:ascii="Inter" w:hAnsi="Inter" w:eastAsia="Noto Sans SC" w:cs="Inter"/>
          <w:b/>
          <w:bCs/>
          <w:color w:val="222222"/>
          <w:sz w:val="22"/>
          <w:szCs w:val="22"/>
        </w:rPr>
        <w:t>1.2 行业总产值与竞争格局</w:t>
      </w:r>
    </w:p>
    <w:p w14:paraId="10943308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据行业统计，2024 年海南装饰装修行业总产值突破 380 亿元，其中工程类（公装 / 工装）装修占比约 62%，住宅家装占比约 38%。三亚作为琼南核心城市，高端酒店、别墅及商业综合体项目密集落地，是单价与设计要求最高的区域市场。</w:t>
      </w:r>
    </w:p>
    <w:p w14:paraId="7F420402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竞争格局方面，海南省建筑装饰协会会员企业涵盖金格子、农垦建工、中建装饰、深圳三鑫、金螳螂、亚厦等省内外主力，本土中小企业数量庞大但集中度极低，普遍陷入「设计费免除、靠施工换单」的同质化竞争。龙头企业的优势正从「施工能力」转向「供应链整合 + 标准化交付 + 售后信用」的综合能力。</w:t>
      </w:r>
    </w:p>
    <w:p w14:paraId="3A398E07">
      <w:pPr>
        <w:spacing w:before="60" w:after="40"/>
      </w:pPr>
      <w:r>
        <w:rPr>
          <w:rFonts w:ascii="Inter" w:hAnsi="Inter" w:eastAsia="Noto Sans SC" w:cs="Inter"/>
          <w:i w:val="0"/>
          <w:iCs w:val="0"/>
          <w:color w:val="595959"/>
          <w:sz w:val="16"/>
          <w:szCs w:val="16"/>
        </w:rPr>
        <w:t>表 2　海南装饰市场业务结构估算（2024 年）</w:t>
      </w:r>
    </w:p>
    <w:tbl>
      <w:tblPr>
        <w:tblStyle w:val="11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00"/>
        <w:gridCol w:w="1800"/>
        <w:gridCol w:w="4638"/>
      </w:tblGrid>
      <w:tr w14:paraId="1AE1D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32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3646747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业务类型</w:t>
            </w:r>
          </w:p>
        </w:tc>
        <w:tc>
          <w:tcPr>
            <w:tcW w:w="18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05D392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规模（亿元）</w:t>
            </w:r>
          </w:p>
        </w:tc>
        <w:tc>
          <w:tcPr>
            <w:tcW w:w="4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412598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结构特征与趋势</w:t>
            </w:r>
          </w:p>
        </w:tc>
      </w:tr>
      <w:tr w14:paraId="06FDC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21583A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工程装修（公装 / 工装）</w:t>
            </w:r>
          </w:p>
        </w:tc>
        <w:tc>
          <w:tcPr>
            <w:tcW w:w="18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B89E33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≈ 236</w:t>
            </w:r>
          </w:p>
        </w:tc>
        <w:tc>
          <w:tcPr>
            <w:tcW w:w="4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00D352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占比约 62%，酒店、办公、商业、康养驱动</w:t>
            </w:r>
          </w:p>
        </w:tc>
      </w:tr>
      <w:tr w14:paraId="06952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3EC962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住宅家装（毛坯 + 精装改造）</w:t>
            </w:r>
          </w:p>
        </w:tc>
        <w:tc>
          <w:tcPr>
            <w:tcW w:w="18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E72475D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≈ 144</w:t>
            </w:r>
          </w:p>
        </w:tc>
        <w:tc>
          <w:tcPr>
            <w:tcW w:w="4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17BB48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占比约 38%，向存量翻新倾斜</w:t>
            </w:r>
          </w:p>
        </w:tc>
      </w:tr>
      <w:tr w14:paraId="58C7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FF565E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其中：存量房局改 / 旧房翻新</w:t>
            </w:r>
          </w:p>
        </w:tc>
        <w:tc>
          <w:tcPr>
            <w:tcW w:w="18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1602FE2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快速增长</w:t>
            </w:r>
          </w:p>
        </w:tc>
        <w:tc>
          <w:tcPr>
            <w:tcW w:w="4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3C79F9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旧房装修全国占比已达 63%</w:t>
            </w:r>
          </w:p>
        </w:tc>
      </w:tr>
      <w:tr w14:paraId="4BFD8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80337E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合计</w:t>
            </w:r>
          </w:p>
        </w:tc>
        <w:tc>
          <w:tcPr>
            <w:tcW w:w="18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1C653B9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&gt; 380</w:t>
            </w:r>
          </w:p>
        </w:tc>
        <w:tc>
          <w:tcPr>
            <w:tcW w:w="46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EA11D3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含主材、部品及软装配饰</w:t>
            </w:r>
          </w:p>
        </w:tc>
      </w:tr>
    </w:tbl>
    <w:p w14:paraId="33357D91">
      <w:pPr>
        <w:spacing w:before="30" w:after="140"/>
        <w:jc w:val="right"/>
      </w:pPr>
      <w:r>
        <w:rPr>
          <w:rFonts w:ascii="Inter" w:hAnsi="Inter" w:eastAsia="Noto Sans SC" w:cs="Inter"/>
          <w:color w:val="888888"/>
          <w:sz w:val="15"/>
          <w:szCs w:val="15"/>
        </w:rPr>
        <w:t>注：总产值为行业研究机构测算口径，分项为按占比反推，仅供趋势判断，非官方统计。</w:t>
      </w:r>
    </w:p>
    <w:p w14:paraId="59F566B5">
      <w:pPr>
        <w:pStyle w:val="2"/>
        <w:pBdr>
          <w:bottom w:val="single" w:color="4C2A85" w:sz="12" w:space="4"/>
        </w:pBdr>
        <w:spacing w:before="220" w:after="120"/>
      </w:pPr>
      <w:r>
        <w:rPr>
          <w:rFonts w:ascii="Inter" w:hAnsi="Inter" w:eastAsia="Noto Sans SC" w:cs="Inter"/>
          <w:b/>
          <w:bCs/>
          <w:color w:val="4C2A85"/>
          <w:sz w:val="26"/>
          <w:szCs w:val="26"/>
        </w:rPr>
        <w:t xml:space="preserve">  二、需求结构：从增量新房到存量焕新</w:t>
      </w:r>
    </w:p>
    <w:p w14:paraId="5FA883AC">
      <w:pPr>
        <w:pStyle w:val="3"/>
        <w:spacing w:before="160" w:after="80"/>
      </w:pPr>
      <w:r>
        <w:rPr>
          <w:rFonts w:ascii="Inter" w:hAnsi="Inter" w:eastAsia="Noto Sans SC" w:cs="Inter"/>
          <w:color w:val="E6C574"/>
          <w:sz w:val="22"/>
          <w:szCs w:val="22"/>
        </w:rPr>
        <w:t>▎</w:t>
      </w:r>
      <w:r>
        <w:rPr>
          <w:rFonts w:ascii="Inter" w:hAnsi="Inter" w:eastAsia="Noto Sans SC" w:cs="Inter"/>
          <w:b/>
          <w:bCs/>
          <w:color w:val="222222"/>
          <w:sz w:val="22"/>
          <w:szCs w:val="22"/>
        </w:rPr>
        <w:t>2.1 全国存量时代已至，海南同步切换</w:t>
      </w:r>
    </w:p>
    <w:p w14:paraId="104C2D1F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奥维云网《2024 年中国家装市场蓝皮书》显示，2024 年中国家装市场规模约 3.56 万亿元，同比下降 16.8%；但结构变化更值得关注——旧房装修（存量房 + 二手房）占比已达 63%，较 2020 年的约 52% 提升 11 个百分点。新房:存量房:二手房占比稳定在 4:4:2，存量房装修住宅 777.5 万套，存量房家装市场规模约 1.5 万亿元。</w:t>
      </w:r>
    </w:p>
    <w:p w14:paraId="269D5EB5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海南虽以旅游地产、候鸟式居住为主，但随着早期商品房与安居房进入 10—15 年楼龄周期，厨卫渗漏、管线老化、空间不适配等问题集中显现，存量翻新需求开始释放。叠加 2024 年全省开工改造城镇老旧小区 261 个、涉及 2.33 万户，局部改造（局改）正成为家装企业争夺的新战场。</w:t>
      </w:r>
    </w:p>
    <w:p w14:paraId="5728CDEC">
      <w:pPr>
        <w:spacing w:before="60" w:after="40"/>
      </w:pPr>
      <w:r>
        <w:rPr>
          <w:rFonts w:ascii="Inter" w:hAnsi="Inter" w:eastAsia="Noto Sans SC" w:cs="Inter"/>
          <w:i w:val="0"/>
          <w:iCs w:val="0"/>
          <w:color w:val="595959"/>
          <w:sz w:val="16"/>
          <w:szCs w:val="16"/>
        </w:rPr>
        <w:t>图 1　2024 年中国家装市场业务结构（占全国套数比例）</w:t>
      </w:r>
    </w:p>
    <w:tbl>
      <w:tblPr>
        <w:tblStyle w:val="11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7238"/>
      </w:tblGrid>
      <w:tr w14:paraId="65508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EABB575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旧房装修合计</w:t>
            </w:r>
          </w:p>
        </w:tc>
        <w:tc>
          <w:tcPr>
            <w:tcW w:w="7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15F0C8A">
            <w:pPr>
              <w:spacing w:after="0"/>
            </w:pPr>
            <w:r>
              <w:rPr>
                <w:rFonts w:ascii="Inter" w:hAnsi="Inter" w:eastAsia="Noto Sans SC" w:cs="Inter"/>
                <w:color w:val="D23B2E"/>
                <w:sz w:val="18"/>
                <w:szCs w:val="18"/>
              </w:rPr>
              <w:t>█████████████████████████░░░░░░░░░░░░░░░</w:t>
            </w:r>
            <w:r>
              <w:rPr>
                <w:rFonts w:ascii="Inter" w:hAnsi="Inter" w:eastAsia="Noto Sans SC" w:cs="Inter"/>
                <w:b/>
                <w:bCs/>
                <w:color w:val="4C2A85"/>
                <w:sz w:val="18"/>
                <w:szCs w:val="18"/>
              </w:rPr>
              <w:t xml:space="preserve">  63</w:t>
            </w:r>
          </w:p>
        </w:tc>
      </w:tr>
      <w:tr w14:paraId="73E30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B139BA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　存量房装修</w:t>
            </w:r>
          </w:p>
        </w:tc>
        <w:tc>
          <w:tcPr>
            <w:tcW w:w="7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8234C86">
            <w:pPr>
              <w:spacing w:after="0"/>
            </w:pPr>
            <w:r>
              <w:rPr>
                <w:rFonts w:ascii="Inter" w:hAnsi="Inter" w:eastAsia="Noto Sans SC" w:cs="Inter"/>
                <w:color w:val="7B4FB5"/>
                <w:sz w:val="18"/>
                <w:szCs w:val="18"/>
              </w:rPr>
              <w:t>████████████████░░░░░░░░░░░░░░░░░░░░░░░░</w:t>
            </w:r>
            <w:r>
              <w:rPr>
                <w:rFonts w:ascii="Inter" w:hAnsi="Inter" w:eastAsia="Noto Sans SC" w:cs="Inter"/>
                <w:b/>
                <w:bCs/>
                <w:color w:val="4C2A85"/>
                <w:sz w:val="18"/>
                <w:szCs w:val="18"/>
              </w:rPr>
              <w:t xml:space="preserve">  40</w:t>
            </w:r>
          </w:p>
        </w:tc>
      </w:tr>
      <w:tr w14:paraId="29EE4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DBDBA2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　二手房装修</w:t>
            </w:r>
          </w:p>
        </w:tc>
        <w:tc>
          <w:tcPr>
            <w:tcW w:w="7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FFD5657">
            <w:pPr>
              <w:spacing w:after="0"/>
            </w:pPr>
            <w:r>
              <w:rPr>
                <w:rFonts w:ascii="Inter" w:hAnsi="Inter" w:eastAsia="Noto Sans SC" w:cs="Inter"/>
                <w:color w:val="7B4FB5"/>
                <w:sz w:val="18"/>
                <w:szCs w:val="18"/>
              </w:rPr>
              <w:t>█████████░░░░░░░░░░░░░░░░░░░░░░░░░░░░░░░</w:t>
            </w:r>
            <w:r>
              <w:rPr>
                <w:rFonts w:ascii="Inter" w:hAnsi="Inter" w:eastAsia="Noto Sans SC" w:cs="Inter"/>
                <w:b/>
                <w:bCs/>
                <w:color w:val="4C2A85"/>
                <w:sz w:val="18"/>
                <w:szCs w:val="18"/>
              </w:rPr>
              <w:t xml:space="preserve">  23</w:t>
            </w:r>
          </w:p>
        </w:tc>
      </w:tr>
      <w:tr w14:paraId="647A1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A43DC8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新房装修</w:t>
            </w:r>
          </w:p>
        </w:tc>
        <w:tc>
          <w:tcPr>
            <w:tcW w:w="7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18DB2C3">
            <w:pPr>
              <w:spacing w:after="0"/>
            </w:pPr>
            <w:r>
              <w:rPr>
                <w:rFonts w:ascii="Inter" w:hAnsi="Inter" w:eastAsia="Noto Sans SC" w:cs="Inter"/>
                <w:color w:val="A855F7"/>
                <w:sz w:val="18"/>
                <w:szCs w:val="18"/>
              </w:rPr>
              <w:t>███████████████░░░░░░░░░░░░░░░░░░░░░░░░░</w:t>
            </w:r>
            <w:r>
              <w:rPr>
                <w:rFonts w:ascii="Inter" w:hAnsi="Inter" w:eastAsia="Noto Sans SC" w:cs="Inter"/>
                <w:b/>
                <w:bCs/>
                <w:color w:val="4C2A85"/>
                <w:sz w:val="18"/>
                <w:szCs w:val="18"/>
              </w:rPr>
              <w:t xml:space="preserve">  37</w:t>
            </w:r>
          </w:p>
        </w:tc>
      </w:tr>
    </w:tbl>
    <w:p w14:paraId="36C663EE">
      <w:pPr>
        <w:spacing w:before="30" w:after="140"/>
        <w:jc w:val="right"/>
      </w:pPr>
      <w:r>
        <w:rPr>
          <w:rFonts w:ascii="Inter" w:hAnsi="Inter" w:eastAsia="Noto Sans SC" w:cs="Inter"/>
          <w:color w:val="888888"/>
          <w:sz w:val="15"/>
          <w:szCs w:val="15"/>
        </w:rPr>
        <w:t>数据来源：奥维云网《2024 年中国家装市场蓝皮书》；旧房装修 = 存量房 + 二手房。</w:t>
      </w:r>
    </w:p>
    <w:p w14:paraId="6D82E52A">
      <w:pPr>
        <w:pStyle w:val="3"/>
        <w:spacing w:before="160" w:after="80"/>
      </w:pPr>
      <w:r>
        <w:rPr>
          <w:rFonts w:ascii="Inter" w:hAnsi="Inter" w:eastAsia="Noto Sans SC" w:cs="Inter"/>
          <w:color w:val="E6C574"/>
          <w:sz w:val="22"/>
          <w:szCs w:val="22"/>
        </w:rPr>
        <w:t>▎</w:t>
      </w:r>
      <w:r>
        <w:rPr>
          <w:rFonts w:ascii="Inter" w:hAnsi="Inter" w:eastAsia="Noto Sans SC" w:cs="Inter"/>
          <w:b/>
          <w:bCs/>
          <w:color w:val="222222"/>
          <w:sz w:val="22"/>
          <w:szCs w:val="22"/>
        </w:rPr>
        <w:t>2.2 政策撬动：以旧换新拉动 12 月爆发</w:t>
      </w:r>
    </w:p>
    <w:p w14:paraId="42F40081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2024 年 8 月，《海南省加力推动消费品以旧换新实施方案》出台，新增 16 大类家装家居产品补贴：木地板、瓷砖、洁具、定制整体橱柜、门窗、乳胶漆、灯具、窗帘等按销售价格的 15% 给予一次性补贴，每类最高 3000 元，采取「即付立减」方式，无需领券抢券。政策持续至 12 月 31 日，叠加「家居焕新消费季」「轮周惠」「海南云端家装节」等活动，效果立竿见影。</w:t>
      </w:r>
    </w:p>
    <w:p w14:paraId="74172370">
      <w:pPr>
        <w:spacing w:after="120"/>
      </w:pPr>
      <w:r>
        <w:rPr>
          <w:rFonts w:ascii="Inter" w:hAnsi="Inter" w:eastAsia="Noto Sans SC" w:cs="Inter"/>
          <w:sz w:val="20"/>
          <w:szCs w:val="20"/>
        </w:rPr>
        <w:t xml:space="preserve">省统计局数据显示，2024 年全省社会消费品零售总额 2405.61 亿元、同比下降 4.2% 的背景下，家具类 12 月当月增长 </w:t>
      </w:r>
      <w:r>
        <w:rPr>
          <w:rFonts w:ascii="Inter" w:hAnsi="Inter" w:eastAsia="Noto Sans SC" w:cs="Inter"/>
          <w:b/>
          <w:bCs/>
          <w:color w:val="D23B2E"/>
          <w:sz w:val="20"/>
          <w:szCs w:val="20"/>
        </w:rPr>
        <w:t>1.3 倍</w:t>
      </w:r>
      <w:r>
        <w:rPr>
          <w:rFonts w:ascii="Inter" w:hAnsi="Inter" w:eastAsia="Noto Sans SC" w:cs="Inter"/>
          <w:sz w:val="20"/>
          <w:szCs w:val="20"/>
        </w:rPr>
        <w:t xml:space="preserve">，建筑及装潢材料类 12 月当月增长 </w:t>
      </w:r>
      <w:r>
        <w:rPr>
          <w:rFonts w:ascii="Inter" w:hAnsi="Inter" w:eastAsia="Noto Sans SC" w:cs="Inter"/>
          <w:b/>
          <w:bCs/>
          <w:color w:val="D23B2E"/>
          <w:sz w:val="20"/>
          <w:szCs w:val="20"/>
        </w:rPr>
        <w:t>2.4 倍</w:t>
      </w:r>
      <w:r>
        <w:rPr>
          <w:rFonts w:ascii="Inter" w:hAnsi="Inter" w:eastAsia="Noto Sans SC" w:cs="Inter"/>
          <w:sz w:val="20"/>
          <w:szCs w:val="20"/>
        </w:rPr>
        <w:t>。</w:t>
      </w:r>
    </w:p>
    <w:p w14:paraId="69B8AF32">
      <w:pPr>
        <w:spacing w:before="60" w:after="40"/>
      </w:pPr>
      <w:r>
        <w:rPr>
          <w:rFonts w:ascii="Inter" w:hAnsi="Inter" w:eastAsia="Noto Sans SC" w:cs="Inter"/>
          <w:i w:val="0"/>
          <w:iCs w:val="0"/>
          <w:color w:val="595959"/>
          <w:sz w:val="16"/>
          <w:szCs w:val="16"/>
        </w:rPr>
        <w:t>表 3　海南限额以上单位相关品类零售额（2024 年全年）</w:t>
      </w:r>
    </w:p>
    <w:tbl>
      <w:tblPr>
        <w:tblStyle w:val="11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00"/>
        <w:gridCol w:w="2200"/>
        <w:gridCol w:w="3838"/>
      </w:tblGrid>
      <w:tr w14:paraId="59C31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36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B1CBFA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品类</w:t>
            </w:r>
          </w:p>
        </w:tc>
        <w:tc>
          <w:tcPr>
            <w:tcW w:w="22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F20FCF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同比增速</w:t>
            </w:r>
          </w:p>
        </w:tc>
        <w:tc>
          <w:tcPr>
            <w:tcW w:w="38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157FA3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趋势解读</w:t>
            </w:r>
          </w:p>
        </w:tc>
      </w:tr>
      <w:tr w14:paraId="2A794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BCCC3DF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建筑及装潢材料类</w:t>
            </w:r>
          </w:p>
        </w:tc>
        <w:tc>
          <w:tcPr>
            <w:tcW w:w="22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645578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+6.3%</w:t>
            </w:r>
          </w:p>
        </w:tc>
        <w:tc>
          <w:tcPr>
            <w:tcW w:w="38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D10FD2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全年正增长，受补贴与翻新支撑</w:t>
            </w:r>
          </w:p>
        </w:tc>
      </w:tr>
      <w:tr w14:paraId="4E12B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001760A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家用电器和音像器材类</w:t>
            </w:r>
          </w:p>
        </w:tc>
        <w:tc>
          <w:tcPr>
            <w:tcW w:w="22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F91100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+31.1%</w:t>
            </w:r>
          </w:p>
        </w:tc>
        <w:tc>
          <w:tcPr>
            <w:tcW w:w="38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1D3580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家电补贴带动最强</w:t>
            </w:r>
          </w:p>
        </w:tc>
      </w:tr>
      <w:tr w14:paraId="3A88C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D08915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家具类</w:t>
            </w:r>
          </w:p>
        </w:tc>
        <w:tc>
          <w:tcPr>
            <w:tcW w:w="22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3FDF87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-11.2%</w:t>
            </w:r>
          </w:p>
        </w:tc>
        <w:tc>
          <w:tcPr>
            <w:tcW w:w="38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CA8F79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前低后高，12 月单月 +1.3 倍</w:t>
            </w:r>
          </w:p>
        </w:tc>
      </w:tr>
      <w:tr w14:paraId="708C8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73F765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社会消费品零售总额</w:t>
            </w:r>
          </w:p>
        </w:tc>
        <w:tc>
          <w:tcPr>
            <w:tcW w:w="22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F53A60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-4.2%</w:t>
            </w:r>
          </w:p>
        </w:tc>
        <w:tc>
          <w:tcPr>
            <w:tcW w:w="38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EDE974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大盘承压，政策品类逆势</w:t>
            </w:r>
          </w:p>
        </w:tc>
      </w:tr>
    </w:tbl>
    <w:p w14:paraId="5F5A7C9B">
      <w:pPr>
        <w:spacing w:before="30" w:after="140"/>
        <w:jc w:val="right"/>
      </w:pPr>
      <w:r>
        <w:rPr>
          <w:rFonts w:ascii="Inter" w:hAnsi="Inter" w:eastAsia="Noto Sans SC" w:cs="Inter"/>
          <w:color w:val="888888"/>
          <w:sz w:val="15"/>
          <w:szCs w:val="15"/>
        </w:rPr>
        <w:t>数据来源：海南省统计局《2024 年消费品市场运行情况》。注：全年家具类仍为负增长，说明补贴的拉动集中在年末，持续性有待观察。</w:t>
      </w:r>
    </w:p>
    <w:p w14:paraId="05F7ADEC">
      <w:pPr>
        <w:pStyle w:val="3"/>
        <w:spacing w:before="160" w:after="80"/>
      </w:pPr>
      <w:r>
        <w:rPr>
          <w:rFonts w:ascii="Inter" w:hAnsi="Inter" w:eastAsia="Noto Sans SC" w:cs="Inter"/>
          <w:color w:val="E6C574"/>
          <w:sz w:val="22"/>
          <w:szCs w:val="22"/>
        </w:rPr>
        <w:t>▎</w:t>
      </w:r>
      <w:r>
        <w:rPr>
          <w:rFonts w:ascii="Inter" w:hAnsi="Inter" w:eastAsia="Noto Sans SC" w:cs="Inter"/>
          <w:b/>
          <w:bCs/>
          <w:color w:val="222222"/>
          <w:sz w:val="22"/>
          <w:szCs w:val="22"/>
        </w:rPr>
        <w:t>2.3 文旅与康养：海南特色增量</w:t>
      </w:r>
    </w:p>
    <w:p w14:paraId="30A95F5D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2024 年全省接待游客 9720.78 万人次，同比增长 8%，创历史新高；其中入境游客 111 万人次，增长 115.6%；游客总花费 2040.14 亿元，增长 12.5%，人均花费 2099 元、居全国第一。文旅扩容直接转化为酒店、民宿、餐饮、度假租赁物业的装饰翻新需求——这是海南区别于内陆省份的独特增量。</w:t>
      </w:r>
    </w:p>
    <w:p w14:paraId="45428A82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此外，2024 年超强台风「摩羯」造成部分房屋门窗、屋顶、防水受损严重，省商务厅专门将门窗纳入补贴并提示「最高补贴 3000 元」，灾后修缮在三季度末形成一波刚性需求高峰，也让抗风压门窗、耐候涂料、防水体系成为本地市场的技术热点。</w:t>
      </w:r>
    </w:p>
    <w:p w14:paraId="2002FF78">
      <w:pPr>
        <w:pStyle w:val="2"/>
        <w:pBdr>
          <w:bottom w:val="single" w:color="4C2A85" w:sz="12" w:space="4"/>
        </w:pBdr>
        <w:spacing w:before="220" w:after="120"/>
      </w:pPr>
      <w:r>
        <w:rPr>
          <w:rFonts w:ascii="Inter" w:hAnsi="Inter" w:eastAsia="Noto Sans SC" w:cs="Inter"/>
          <w:b/>
          <w:bCs/>
          <w:color w:val="4C2A85"/>
          <w:sz w:val="26"/>
          <w:szCs w:val="26"/>
        </w:rPr>
        <w:t xml:space="preserve">  三、技术与产品趋势</w:t>
      </w:r>
    </w:p>
    <w:p w14:paraId="683981C8">
      <w:pPr>
        <w:pStyle w:val="3"/>
        <w:spacing w:before="160" w:after="80"/>
      </w:pPr>
      <w:r>
        <w:rPr>
          <w:rFonts w:ascii="Inter" w:hAnsi="Inter" w:eastAsia="Noto Sans SC" w:cs="Inter"/>
          <w:color w:val="E6C574"/>
          <w:sz w:val="22"/>
          <w:szCs w:val="22"/>
        </w:rPr>
        <w:t>▎</w:t>
      </w:r>
      <w:r>
        <w:rPr>
          <w:rFonts w:ascii="Inter" w:hAnsi="Inter" w:eastAsia="Noto Sans SC" w:cs="Inter"/>
          <w:b/>
          <w:bCs/>
          <w:color w:val="222222"/>
          <w:sz w:val="22"/>
          <w:szCs w:val="22"/>
        </w:rPr>
        <w:t>3.1 装配式内装修：从政策到标准全面落地</w:t>
      </w:r>
    </w:p>
    <w:p w14:paraId="40022CB0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海南将装配式建筑作为国家生态文明试验区建设的标志性工程。2024 年，全省明确采用装配式建造的项目面积占新建建筑比例超过 75%（2020 年仅 30%），新建绿色建筑占比达 90% 以上；临高金牌港装配式产业园产值规模达十亿级，全省部品部件生产企业从 2015 年的 1 家增至 40 余家。</w:t>
      </w:r>
    </w:p>
    <w:p w14:paraId="351520CB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政策标准层面，海南已印发《海南省装配式内装修技术标准》，并正在修订《海南省装配率计算规则》，推广应用集成管线的装配式顶面、墙面、楼地面、厨房、卫生间系统产品；2024 年 10 月，省住建厅就新版《海南省全装修住宅室内装修设计标准》公开征求意见，推动全装修住宅绿色发展与污染控制。</w:t>
      </w:r>
    </w:p>
    <w:p w14:paraId="13A00250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Inter" w:hAnsi="Inter" w:eastAsia="Noto Sans SC" w:cs="Inter"/>
          <w:b/>
          <w:bCs/>
          <w:sz w:val="20"/>
          <w:szCs w:val="20"/>
        </w:rPr>
        <w:t>· 干式工法优势</w:t>
      </w:r>
      <w:r>
        <w:rPr>
          <w:rFonts w:ascii="Inter" w:hAnsi="Inter" w:eastAsia="Noto Sans SC" w:cs="Inter"/>
          <w:sz w:val="20"/>
          <w:szCs w:val="20"/>
        </w:rPr>
        <w:t>：集成化设计 + 装配化施工，工期缩短 30%—50%，湿作业大幅减少，契合海南高温高湿与台风气候。</w:t>
      </w:r>
    </w:p>
    <w:p w14:paraId="685C31F9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Inter" w:hAnsi="Inter" w:eastAsia="Noto Sans SC" w:cs="Inter"/>
          <w:b/>
          <w:bCs/>
          <w:sz w:val="20"/>
          <w:szCs w:val="20"/>
        </w:rPr>
        <w:t>· 存量改造适配</w:t>
      </w:r>
      <w:r>
        <w:rPr>
          <w:rFonts w:ascii="Inter" w:hAnsi="Inter" w:eastAsia="Noto Sans SC" w:cs="Inter"/>
          <w:sz w:val="20"/>
          <w:szCs w:val="20"/>
        </w:rPr>
        <w:t>：与城市更新、既有建筑改造结合，在装配式住宅中预置智能化模块，推动「装配式装修 + 智能家居」融合。</w:t>
      </w:r>
    </w:p>
    <w:p w14:paraId="416E2C1D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Inter" w:hAnsi="Inter" w:eastAsia="Noto Sans SC" w:cs="Inter"/>
          <w:b/>
          <w:bCs/>
          <w:sz w:val="20"/>
          <w:szCs w:val="20"/>
        </w:rPr>
        <w:t>· 政策目标</w:t>
      </w:r>
      <w:r>
        <w:rPr>
          <w:rFonts w:ascii="Inter" w:hAnsi="Inter" w:eastAsia="Noto Sans SC" w:cs="Inter"/>
          <w:sz w:val="20"/>
          <w:szCs w:val="20"/>
        </w:rPr>
        <w:t>：2025 年目标新开工装配式建筑占比超 80%，并全面推广装配式内装修。</w:t>
      </w:r>
    </w:p>
    <w:p w14:paraId="1D5A995E">
      <w:pPr>
        <w:pStyle w:val="3"/>
        <w:spacing w:before="160" w:after="80"/>
      </w:pPr>
      <w:r>
        <w:rPr>
          <w:rFonts w:ascii="Inter" w:hAnsi="Inter" w:eastAsia="Noto Sans SC" w:cs="Inter"/>
          <w:color w:val="E6C574"/>
          <w:sz w:val="22"/>
          <w:szCs w:val="22"/>
        </w:rPr>
        <w:t>▎</w:t>
      </w:r>
      <w:r>
        <w:rPr>
          <w:rFonts w:ascii="Inter" w:hAnsi="Inter" w:eastAsia="Noto Sans SC" w:cs="Inter"/>
          <w:b/>
          <w:bCs/>
          <w:color w:val="222222"/>
          <w:sz w:val="22"/>
          <w:szCs w:val="22"/>
        </w:rPr>
        <w:t>3.2 绿色、低碳与适老化</w:t>
      </w:r>
    </w:p>
    <w:p w14:paraId="3A22A8FB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海南热带岛屿气候决定了装饰材料的防潮、防霉、抗紫外、低 VOC 要求远高于全国平均水平。随着《海南省绿色建筑发展条例》实施，低甲醛板材、无机涂料、竹木纤维墙板、光伏遮阳一体化构件等绿色部品加速渗透。适老化方面，家装补贴专门纳入按摩椅、轮椅、淋浴椅、坐便凳 4 类产品，与老旧小区加装电梯、适老卫浴改造形成配套，适老家居成为明确细分赛道。</w:t>
      </w:r>
    </w:p>
    <w:p w14:paraId="32F48B57">
      <w:pPr>
        <w:pStyle w:val="3"/>
        <w:spacing w:before="160" w:after="80"/>
      </w:pPr>
      <w:r>
        <w:rPr>
          <w:rFonts w:ascii="Inter" w:hAnsi="Inter" w:eastAsia="Noto Sans SC" w:cs="Inter"/>
          <w:color w:val="E6C574"/>
          <w:sz w:val="22"/>
          <w:szCs w:val="22"/>
        </w:rPr>
        <w:t>▎</w:t>
      </w:r>
      <w:r>
        <w:rPr>
          <w:rFonts w:ascii="Inter" w:hAnsi="Inter" w:eastAsia="Noto Sans SC" w:cs="Inter"/>
          <w:b/>
          <w:bCs/>
          <w:color w:val="222222"/>
          <w:sz w:val="22"/>
          <w:szCs w:val="22"/>
        </w:rPr>
        <w:t>3.3 整装、全屋定制与数智化</w:t>
      </w:r>
    </w:p>
    <w:p w14:paraId="57CD3A29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全国整装市场从 2019 年不足 20% 提升至 2024 年超过 34%，消费者对「一站式家装」的需求持续上升。海南本地市场同步演进：居然之家海口店、万佳家居装饰广场等卖场成为补贴主阵地，定制整体橱柜、全屋定制、门窗一体化订单占比提高。数智化方面，头部企业普遍上线「设计 + 报价 + 供应链 + 施工管理」一体化系统，行业协会亦牵头制定《老旧住宅升级改造服务规范》团体标准，推动服务流程标准化。</w:t>
      </w:r>
    </w:p>
    <w:p w14:paraId="0D5C78FF">
      <w:pPr>
        <w:pStyle w:val="2"/>
        <w:pBdr>
          <w:bottom w:val="single" w:color="4C2A85" w:sz="12" w:space="4"/>
        </w:pBdr>
        <w:spacing w:before="220" w:after="120"/>
      </w:pPr>
      <w:r>
        <w:rPr>
          <w:rFonts w:ascii="Inter" w:hAnsi="Inter" w:eastAsia="Noto Sans SC" w:cs="Inter"/>
          <w:b/>
          <w:bCs/>
          <w:color w:val="4C2A85"/>
          <w:sz w:val="26"/>
          <w:szCs w:val="26"/>
        </w:rPr>
        <w:t xml:space="preserve">  四、区域发展格局</w:t>
      </w:r>
    </w:p>
    <w:p w14:paraId="11F5811D">
      <w:pPr>
        <w:spacing w:before="60" w:after="40"/>
      </w:pPr>
      <w:r>
        <w:rPr>
          <w:rFonts w:ascii="Inter" w:hAnsi="Inter" w:eastAsia="Noto Sans SC" w:cs="Inter"/>
          <w:i w:val="0"/>
          <w:iCs w:val="0"/>
          <w:color w:val="595959"/>
          <w:sz w:val="16"/>
          <w:szCs w:val="16"/>
        </w:rPr>
        <w:t>图 2　海南三大经济圈装饰需求特征对比（示意）</w:t>
      </w:r>
    </w:p>
    <w:tbl>
      <w:tblPr>
        <w:tblStyle w:val="11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7238"/>
      </w:tblGrid>
      <w:tr w14:paraId="315A0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4D7EB7B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海口经济圈（家居卖场/旧改）</w:t>
            </w:r>
          </w:p>
        </w:tc>
        <w:tc>
          <w:tcPr>
            <w:tcW w:w="7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3092FBA">
            <w:pPr>
              <w:spacing w:after="0"/>
            </w:pPr>
            <w:r>
              <w:rPr>
                <w:rFonts w:ascii="Inter" w:hAnsi="Inter" w:eastAsia="Noto Sans SC" w:cs="Inter"/>
                <w:color w:val="4C2A85"/>
                <w:sz w:val="18"/>
                <w:szCs w:val="18"/>
              </w:rPr>
              <w:t>████████████████████████████████████████</w:t>
            </w:r>
            <w:r>
              <w:rPr>
                <w:rFonts w:ascii="Inter" w:hAnsi="Inter" w:eastAsia="Noto Sans SC" w:cs="Inter"/>
                <w:b/>
                <w:bCs/>
                <w:color w:val="4C2A85"/>
                <w:sz w:val="18"/>
                <w:szCs w:val="18"/>
              </w:rPr>
              <w:t xml:space="preserve">  100</w:t>
            </w:r>
          </w:p>
        </w:tc>
      </w:tr>
      <w:tr w14:paraId="55802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8CF898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三亚经济圈（高端酒店/别墅）</w:t>
            </w:r>
          </w:p>
        </w:tc>
        <w:tc>
          <w:tcPr>
            <w:tcW w:w="7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FFC4A90">
            <w:pPr>
              <w:spacing w:after="0"/>
            </w:pPr>
            <w:r>
              <w:rPr>
                <w:rFonts w:ascii="Inter" w:hAnsi="Inter" w:eastAsia="Noto Sans SC" w:cs="Inter"/>
                <w:color w:val="D23B2E"/>
                <w:sz w:val="18"/>
                <w:szCs w:val="18"/>
              </w:rPr>
              <w:t>███████████████████████████████░░░░░░░░░</w:t>
            </w:r>
            <w:r>
              <w:rPr>
                <w:rFonts w:ascii="Inter" w:hAnsi="Inter" w:eastAsia="Noto Sans SC" w:cs="Inter"/>
                <w:b/>
                <w:bCs/>
                <w:color w:val="4C2A85"/>
                <w:sz w:val="18"/>
                <w:szCs w:val="18"/>
              </w:rPr>
              <w:t xml:space="preserve">  78</w:t>
            </w:r>
          </w:p>
        </w:tc>
      </w:tr>
      <w:tr w14:paraId="1EAE0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EE02AA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儋洋经济圈（产业/基建配套）</w:t>
            </w:r>
          </w:p>
        </w:tc>
        <w:tc>
          <w:tcPr>
            <w:tcW w:w="7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243442A">
            <w:pPr>
              <w:spacing w:after="0"/>
            </w:pPr>
            <w:r>
              <w:rPr>
                <w:rFonts w:ascii="Inter" w:hAnsi="Inter" w:eastAsia="Noto Sans SC" w:cs="Inter"/>
                <w:color w:val="7B4FB5"/>
                <w:sz w:val="18"/>
                <w:szCs w:val="18"/>
              </w:rPr>
              <w:t>█████████████████████░░░░░░░░░░░░░░░░░░░</w:t>
            </w:r>
            <w:r>
              <w:rPr>
                <w:rFonts w:ascii="Inter" w:hAnsi="Inter" w:eastAsia="Noto Sans SC" w:cs="Inter"/>
                <w:b/>
                <w:bCs/>
                <w:color w:val="4C2A85"/>
                <w:sz w:val="18"/>
                <w:szCs w:val="18"/>
              </w:rPr>
              <w:t xml:space="preserve">  52</w:t>
            </w:r>
          </w:p>
        </w:tc>
      </w:tr>
    </w:tbl>
    <w:p w14:paraId="744319A6">
      <w:pPr>
        <w:spacing w:before="30" w:after="140"/>
        <w:jc w:val="right"/>
      </w:pPr>
      <w:r>
        <w:rPr>
          <w:rFonts w:ascii="Inter" w:hAnsi="Inter" w:eastAsia="Noto Sans SC" w:cs="Inter"/>
          <w:color w:val="888888"/>
          <w:sz w:val="15"/>
          <w:szCs w:val="15"/>
        </w:rPr>
        <w:t>注：以装饰需求综合强度为相对指数（海口 = 100），非官方统计，为趋势示意。</w:t>
      </w:r>
    </w:p>
    <w:p w14:paraId="7A98E8F8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海口作为省会与设计、建材流通中心，集中了万佳、居然之家等核心卖场，是全岛家装消费与旧城改造的主战场；三亚及陵水、万宁等东部沿海聚焦高端度假地产、酒店与民宿，客单价与设计溢价最高；儋洋经济圈受产业投资高速增长（19.9%）带动，厂房、园区、配套商业的工装需求上升最快。区域分工日趋清晰，也倒逼企业采取差异化布局。</w:t>
      </w:r>
    </w:p>
    <w:p w14:paraId="727056D2">
      <w:pPr>
        <w:pStyle w:val="2"/>
        <w:pBdr>
          <w:bottom w:val="single" w:color="4C2A85" w:sz="12" w:space="4"/>
        </w:pBdr>
        <w:spacing w:before="220" w:after="120"/>
      </w:pPr>
      <w:r>
        <w:rPr>
          <w:rFonts w:ascii="Inter" w:hAnsi="Inter" w:eastAsia="Noto Sans SC" w:cs="Inter"/>
          <w:b/>
          <w:bCs/>
          <w:color w:val="4C2A85"/>
          <w:sz w:val="26"/>
          <w:szCs w:val="26"/>
        </w:rPr>
        <w:t xml:space="preserve">  五、主要挑战与发展展望</w:t>
      </w:r>
    </w:p>
    <w:p w14:paraId="1089BE35">
      <w:pPr>
        <w:pStyle w:val="3"/>
        <w:spacing w:before="160" w:after="80"/>
      </w:pPr>
      <w:r>
        <w:rPr>
          <w:rFonts w:ascii="Inter" w:hAnsi="Inter" w:eastAsia="Noto Sans SC" w:cs="Inter"/>
          <w:color w:val="E6C574"/>
          <w:sz w:val="22"/>
          <w:szCs w:val="22"/>
        </w:rPr>
        <w:t>▎</w:t>
      </w:r>
      <w:r>
        <w:rPr>
          <w:rFonts w:ascii="Inter" w:hAnsi="Inter" w:eastAsia="Noto Sans SC" w:cs="Inter"/>
          <w:b/>
          <w:bCs/>
          <w:color w:val="222222"/>
          <w:sz w:val="22"/>
          <w:szCs w:val="22"/>
        </w:rPr>
        <w:t>5.1 行业痛点</w:t>
      </w:r>
    </w:p>
    <w:p w14:paraId="7EC94E21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Inter" w:hAnsi="Inter" w:eastAsia="Noto Sans SC" w:cs="Inter"/>
          <w:b/>
          <w:bCs/>
          <w:sz w:val="20"/>
          <w:szCs w:val="20"/>
        </w:rPr>
        <w:t>· 同质化竞争严重</w:t>
      </w:r>
      <w:r>
        <w:rPr>
          <w:rFonts w:ascii="Inter" w:hAnsi="Inter" w:eastAsia="Noto Sans SC" w:cs="Inter"/>
          <w:sz w:val="20"/>
          <w:szCs w:val="20"/>
        </w:rPr>
        <w:t>，本地注册装饰企业众多但集中度低，价格战压缩利润，设计费常被免除。</w:t>
      </w:r>
    </w:p>
    <w:p w14:paraId="287C8090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Inter" w:hAnsi="Inter" w:eastAsia="Noto Sans SC" w:cs="Inter"/>
          <w:b/>
          <w:bCs/>
          <w:sz w:val="20"/>
          <w:szCs w:val="20"/>
        </w:rPr>
        <w:t>· 施工安全与规范缺失</w:t>
      </w:r>
      <w:r>
        <w:rPr>
          <w:rFonts w:ascii="Inter" w:hAnsi="Inter" w:eastAsia="Noto Sans SC" w:cs="Inter"/>
          <w:sz w:val="20"/>
          <w:szCs w:val="20"/>
        </w:rPr>
        <w:t>：省住建厅指出住宅室内装饰施工操作不当导致安全事故问题突出，协会于 2024 年 12 月专门召开《住宅室内装饰管理流程及安全风险预防措施》征询会。</w:t>
      </w:r>
    </w:p>
    <w:p w14:paraId="0D712039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Inter" w:hAnsi="Inter" w:eastAsia="Noto Sans SC" w:cs="Inter"/>
          <w:b/>
          <w:bCs/>
          <w:sz w:val="20"/>
          <w:szCs w:val="20"/>
        </w:rPr>
        <w:t>· 人才供给不足</w:t>
      </w:r>
      <w:r>
        <w:rPr>
          <w:rFonts w:ascii="Inter" w:hAnsi="Inter" w:eastAsia="Noto Sans SC" w:cs="Inter"/>
          <w:sz w:val="20"/>
          <w:szCs w:val="20"/>
        </w:rPr>
        <w:t>，本地高校年培养设计毕业生不足 500 人、留存率低于 50%，高端设计、装配式深化人才短缺。</w:t>
      </w:r>
    </w:p>
    <w:p w14:paraId="778C3CA4">
      <w:pPr>
        <w:pStyle w:val="16"/>
        <w:numPr>
          <w:ilvl w:val="0"/>
          <w:numId w:val="1"/>
        </w:numPr>
        <w:spacing w:after="60" w:line="276" w:lineRule="auto"/>
      </w:pPr>
      <w:r>
        <w:rPr>
          <w:rFonts w:ascii="Inter" w:hAnsi="Inter" w:eastAsia="Noto Sans SC" w:cs="Inter"/>
          <w:b/>
          <w:bCs/>
          <w:sz w:val="20"/>
          <w:szCs w:val="20"/>
        </w:rPr>
        <w:t>· 消费信心偏弱</w:t>
      </w:r>
      <w:r>
        <w:rPr>
          <w:rFonts w:ascii="Inter" w:hAnsi="Inter" w:eastAsia="Noto Sans SC" w:cs="Inter"/>
          <w:sz w:val="20"/>
          <w:szCs w:val="20"/>
        </w:rPr>
        <w:t>：补贴拉动集中于年末，社零全年仍下滑，需求韧性待验证。</w:t>
      </w:r>
    </w:p>
    <w:p w14:paraId="3F84B541">
      <w:pPr>
        <w:pStyle w:val="3"/>
        <w:spacing w:before="160" w:after="80"/>
      </w:pPr>
      <w:r>
        <w:rPr>
          <w:rFonts w:ascii="Inter" w:hAnsi="Inter" w:eastAsia="Noto Sans SC" w:cs="Inter"/>
          <w:color w:val="E6C574"/>
          <w:sz w:val="22"/>
          <w:szCs w:val="22"/>
        </w:rPr>
        <w:t>▎</w:t>
      </w:r>
      <w:r>
        <w:rPr>
          <w:rFonts w:ascii="Inter" w:hAnsi="Inter" w:eastAsia="Noto Sans SC" w:cs="Inter"/>
          <w:b/>
          <w:bCs/>
          <w:color w:val="222222"/>
          <w:sz w:val="22"/>
          <w:szCs w:val="22"/>
        </w:rPr>
        <w:t>5.2 2025 年趋势展望</w:t>
      </w:r>
    </w:p>
    <w:p w14:paraId="3996E930">
      <w:pPr>
        <w:spacing w:before="60" w:after="40"/>
      </w:pPr>
      <w:r>
        <w:rPr>
          <w:rFonts w:ascii="Inter" w:hAnsi="Inter" w:eastAsia="Noto Sans SC" w:cs="Inter"/>
          <w:i w:val="0"/>
          <w:iCs w:val="0"/>
          <w:color w:val="595959"/>
          <w:sz w:val="16"/>
          <w:szCs w:val="16"/>
        </w:rPr>
        <w:t>表 4　2025 年海南室内装饰行业关键趋势预判</w:t>
      </w:r>
    </w:p>
    <w:tbl>
      <w:tblPr>
        <w:tblStyle w:val="11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00"/>
        <w:gridCol w:w="3000"/>
        <w:gridCol w:w="4238"/>
      </w:tblGrid>
      <w:tr w14:paraId="74861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2870514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趋势方向</w:t>
            </w:r>
          </w:p>
        </w:tc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6B69D2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驱动因素</w:t>
            </w:r>
          </w:p>
        </w:tc>
        <w:tc>
          <w:tcPr>
            <w:tcW w:w="4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4C2A8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79678D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/>
                <w:bCs/>
                <w:color w:val="FFFFFF"/>
                <w:sz w:val="18"/>
                <w:szCs w:val="18"/>
              </w:rPr>
              <w:t>机会点</w:t>
            </w:r>
          </w:p>
        </w:tc>
      </w:tr>
      <w:tr w14:paraId="6D2F9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2377D1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存量翻新成主引擎</w:t>
            </w:r>
          </w:p>
        </w:tc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AF0AAA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老旧小区改造、楼龄老化、以旧换新</w:t>
            </w:r>
          </w:p>
        </w:tc>
        <w:tc>
          <w:tcPr>
            <w:tcW w:w="4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0B098C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局改、厨卫焕新、适老改造</w:t>
            </w:r>
          </w:p>
        </w:tc>
      </w:tr>
      <w:tr w14:paraId="1F8A9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5A4F8E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装配式内装普及</w:t>
            </w:r>
          </w:p>
        </w:tc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527161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装配率目标 &gt;80%、标准落地</w:t>
            </w:r>
          </w:p>
        </w:tc>
        <w:tc>
          <w:tcPr>
            <w:tcW w:w="4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7093D64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部品集成、干式工法、预制厨卫</w:t>
            </w:r>
          </w:p>
        </w:tc>
      </w:tr>
      <w:tr w14:paraId="0304D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BE4892C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绿色健康部品渗透</w:t>
            </w:r>
          </w:p>
        </w:tc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DFA874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绿色建筑占比 &gt;90%、低 VOC 要求</w:t>
            </w:r>
          </w:p>
        </w:tc>
        <w:tc>
          <w:tcPr>
            <w:tcW w:w="4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D21B28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防潮防霉材料、无机涂料</w:t>
            </w:r>
          </w:p>
        </w:tc>
      </w:tr>
      <w:tr w14:paraId="41AF0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223260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文旅装饰需求扩容</w:t>
            </w:r>
          </w:p>
        </w:tc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9EC7DB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封关运作、入境游客翻倍</w:t>
            </w:r>
          </w:p>
        </w:tc>
        <w:tc>
          <w:tcPr>
            <w:tcW w:w="4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64BE68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酒店民宿翻新、度假定制</w:t>
            </w:r>
          </w:p>
        </w:tc>
      </w:tr>
      <w:tr w14:paraId="407CB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A5CEC7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整装与数智融合</w:t>
            </w:r>
          </w:p>
        </w:tc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A60CD9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整装占比 &gt;34%、智能家居</w:t>
            </w:r>
          </w:p>
        </w:tc>
        <w:tc>
          <w:tcPr>
            <w:tcW w:w="4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51F132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全屋定制、设计施工一体化平台</w:t>
            </w:r>
          </w:p>
        </w:tc>
      </w:tr>
      <w:tr w14:paraId="3EC08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F6A96B8">
            <w:pPr>
              <w:spacing w:after="0" w:line="240" w:lineRule="auto"/>
              <w:jc w:val="left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行业集中度提升</w:t>
            </w:r>
          </w:p>
        </w:tc>
        <w:tc>
          <w:tcPr>
            <w:tcW w:w="3000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7A1F4B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标准与信用体系建设</w:t>
            </w:r>
          </w:p>
        </w:tc>
        <w:tc>
          <w:tcPr>
            <w:tcW w:w="4238" w:type="dxa"/>
            <w:tcBorders>
              <w:top w:val="single" w:color="C9BFE0" w:sz="4" w:space="0"/>
              <w:left w:val="single" w:color="C9BFE0" w:sz="4" w:space="0"/>
              <w:bottom w:val="single" w:color="C9BFE0" w:sz="4" w:space="0"/>
              <w:right w:val="single" w:color="C9BFE0" w:sz="4" w:space="0"/>
            </w:tcBorders>
            <w:shd w:val="clear" w:color="auto" w:fill="F5F1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4C184A">
            <w:pPr>
              <w:spacing w:after="0" w:line="240" w:lineRule="auto"/>
              <w:jc w:val="center"/>
            </w:pPr>
            <w:r>
              <w:rPr>
                <w:rFonts w:ascii="Inter" w:hAnsi="Inter" w:eastAsia="Noto Sans SC" w:cs="Inter"/>
                <w:b w:val="0"/>
                <w:bCs w:val="0"/>
                <w:color w:val="333333"/>
                <w:sz w:val="18"/>
                <w:szCs w:val="18"/>
              </w:rPr>
              <w:t>头部品牌、放心消费单位</w:t>
            </w:r>
          </w:p>
        </w:tc>
      </w:tr>
    </w:tbl>
    <w:p w14:paraId="59655AA6">
      <w:pPr>
        <w:pStyle w:val="3"/>
        <w:spacing w:before="160" w:after="80"/>
      </w:pPr>
      <w:r>
        <w:rPr>
          <w:rFonts w:ascii="Inter" w:hAnsi="Inter" w:eastAsia="Noto Sans SC" w:cs="Inter"/>
          <w:color w:val="E6C574"/>
          <w:sz w:val="22"/>
          <w:szCs w:val="22"/>
        </w:rPr>
        <w:t>▎</w:t>
      </w:r>
      <w:r>
        <w:rPr>
          <w:rFonts w:ascii="Inter" w:hAnsi="Inter" w:eastAsia="Noto Sans SC" w:cs="Inter"/>
          <w:b/>
          <w:bCs/>
          <w:color w:val="222222"/>
          <w:sz w:val="22"/>
          <w:szCs w:val="22"/>
        </w:rPr>
        <w:t>5.3 结论</w:t>
      </w:r>
    </w:p>
    <w:p w14:paraId="58692050">
      <w:pPr>
        <w:spacing w:before="0" w:after="120" w:line="288" w:lineRule="auto"/>
        <w:ind w:firstLine="480"/>
        <w:jc w:val="both"/>
      </w:pPr>
      <w:r>
        <w:rPr>
          <w:rFonts w:ascii="Inter" w:hAnsi="Inter" w:eastAsia="Noto Sans SC" w:cs="Inter"/>
          <w:sz w:val="20"/>
          <w:szCs w:val="20"/>
        </w:rPr>
        <w:t>综合判断，2024 年海南室内装饰行业处于「总量平稳、结构重塑」的转折期：新房增量见顶但并未坍塌，存量焕新、装配式内装、绿色部品、文旅装饰四条主线已经清晰。2025 年全岛封关运作将进一步激活投资与消费，城市更新与老旧小区改造扩围则为家装提供稳定增量。对企业而言，竞争逻辑已从「争夺新房客源」转向「供应链整合能力 + 标准化交付 + 存量客户服务 + 信用背书」——谁能率先完成这一转型，谁就能在自贸港建设的人居升级中占据先机。</w:t>
      </w:r>
    </w:p>
    <w:p w14:paraId="6AD83C50">
      <w:pPr>
        <w:pBdr>
          <w:bottom w:val="single" w:color="4C2A85" w:sz="12" w:space="4"/>
        </w:pBdr>
        <w:spacing w:before="200" w:after="80"/>
      </w:pPr>
      <w:r>
        <w:rPr>
          <w:rFonts w:ascii="Inter" w:hAnsi="Inter" w:eastAsia="Noto Sans SC" w:cs="Inter"/>
          <w:b/>
          <w:bCs/>
          <w:color w:val="4C2A85"/>
          <w:sz w:val="24"/>
          <w:szCs w:val="24"/>
        </w:rPr>
        <w:t xml:space="preserve"> 参考资料</w:t>
      </w:r>
    </w:p>
    <w:p w14:paraId="23591ED6">
      <w:pPr>
        <w:spacing w:after="40" w:line="264" w:lineRule="auto"/>
        <w:ind w:left="480" w:hanging="480"/>
      </w:pPr>
      <w:r>
        <w:rPr>
          <w:rFonts w:ascii="Inter" w:hAnsi="Inter" w:eastAsia="Noto Sans SC" w:cs="Inter"/>
          <w:color w:val="555555"/>
          <w:sz w:val="17"/>
          <w:szCs w:val="17"/>
        </w:rPr>
        <w:t>[1] 海南省统计局：《2024 年海南省国民经济和社会发展统计公报》《2024 年消费品市场运行情况》</w:t>
      </w:r>
    </w:p>
    <w:p w14:paraId="7B8A10BE">
      <w:pPr>
        <w:spacing w:after="40" w:line="264" w:lineRule="auto"/>
        <w:ind w:left="480" w:hanging="480"/>
      </w:pPr>
      <w:r>
        <w:rPr>
          <w:rFonts w:ascii="Inter" w:hAnsi="Inter" w:eastAsia="Noto Sans SC" w:cs="Inter"/>
          <w:color w:val="555555"/>
          <w:sz w:val="17"/>
          <w:szCs w:val="17"/>
        </w:rPr>
        <w:t>[2] 海南省人民政府 / 省住建厅：装配式建筑、绿色建筑相关数据与政策文件（2024）</w:t>
      </w:r>
    </w:p>
    <w:p w14:paraId="386BF89E">
      <w:pPr>
        <w:spacing w:after="40" w:line="264" w:lineRule="auto"/>
        <w:ind w:left="480" w:hanging="480"/>
      </w:pPr>
      <w:r>
        <w:rPr>
          <w:rFonts w:ascii="Inter" w:hAnsi="Inter" w:eastAsia="Noto Sans SC" w:cs="Inter"/>
          <w:color w:val="555555"/>
          <w:sz w:val="17"/>
          <w:szCs w:val="17"/>
        </w:rPr>
        <w:t>[3] 海南省商务厅：《海南省加力推动消费品以旧换新实施方案》《支持家装家居产品换新实施细则》（2024）</w:t>
      </w:r>
    </w:p>
    <w:p w14:paraId="62DE70EF">
      <w:pPr>
        <w:spacing w:after="40" w:line="264" w:lineRule="auto"/>
        <w:ind w:left="480" w:hanging="480"/>
      </w:pPr>
      <w:r>
        <w:rPr>
          <w:rFonts w:ascii="Inter" w:hAnsi="Inter" w:eastAsia="Noto Sans SC" w:cs="Inter"/>
          <w:color w:val="555555"/>
          <w:sz w:val="17"/>
          <w:szCs w:val="17"/>
        </w:rPr>
        <w:t>[4] 奥维云网：《2024 年中国家装市场蓝皮书》；国金证券相关研报（旧房装修占比 63%）</w:t>
      </w:r>
    </w:p>
    <w:p w14:paraId="43232F25">
      <w:pPr>
        <w:spacing w:after="40" w:line="264" w:lineRule="auto"/>
        <w:ind w:left="480" w:hanging="480"/>
      </w:pPr>
      <w:r>
        <w:rPr>
          <w:rFonts w:ascii="Inter" w:hAnsi="Inter" w:eastAsia="Noto Sans SC" w:cs="Inter"/>
          <w:color w:val="555555"/>
          <w:sz w:val="17"/>
          <w:szCs w:val="17"/>
        </w:rPr>
        <w:t>[5] 海南省旅游和文化广电体育厅：2024 年全省旅游接待与消费数据</w:t>
      </w:r>
    </w:p>
    <w:p w14:paraId="4CD26B89">
      <w:pPr>
        <w:spacing w:after="40" w:line="264" w:lineRule="auto"/>
        <w:ind w:left="480" w:hanging="480"/>
      </w:pPr>
      <w:r>
        <w:rPr>
          <w:rFonts w:ascii="Inter" w:hAnsi="Inter" w:eastAsia="Noto Sans SC" w:cs="Inter"/>
          <w:color w:val="555555"/>
          <w:sz w:val="17"/>
          <w:szCs w:val="17"/>
        </w:rPr>
        <w:t>[6] 海南省建筑装饰协会、海南省室内装饰协会公开信息及团体标准文件</w:t>
      </w:r>
    </w:p>
    <w:p w14:paraId="0B89EE4B">
      <w:pPr>
        <w:spacing w:before="160"/>
        <w:jc w:val="center"/>
      </w:pPr>
      <w:r>
        <w:rPr>
          <w:rFonts w:ascii="Inter" w:hAnsi="Inter" w:eastAsia="Noto Sans SC" w:cs="Inter"/>
          <w:color w:val="999999"/>
          <w:sz w:val="16"/>
          <w:szCs w:val="16"/>
        </w:rPr>
        <w:t>— 本文数据均来自公开权威渠道，测算口径已注明，仅供行业研究参考 —</w:t>
      </w:r>
    </w:p>
    <w:sectPr>
      <w:pgSz w:w="11906" w:h="16838"/>
      <w:pgMar w:top="1247" w:right="1247" w:bottom="1020" w:left="1247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Inter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9CC48C9"/>
    <w:rsid w:val="560112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Inter" w:hAnsi="Inter" w:eastAsia="Noto Sans SC" w:cs="Inter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Inter" w:hAnsi="Inter" w:eastAsia="Noto Sans SC" w:cs="Inter"/>
      <w:sz w:val="20"/>
      <w:szCs w:val="20"/>
    </w:rPr>
  </w:style>
  <w:style w:type="paragraph" w:styleId="2">
    <w:name w:val="heading 1"/>
    <w:next w:val="1"/>
    <w:qFormat/>
    <w:uiPriority w:val="0"/>
    <w:pPr>
      <w:spacing w:before="220" w:after="120" w:line="288" w:lineRule="auto"/>
      <w:outlineLvl w:val="0"/>
    </w:pPr>
    <w:rPr>
      <w:rFonts w:ascii="Inter" w:hAnsi="Inter" w:eastAsia="Noto Sans SC" w:cs="Inter"/>
      <w:b/>
      <w:bCs/>
      <w:color w:val="4C2A85"/>
      <w:sz w:val="26"/>
      <w:szCs w:val="26"/>
    </w:rPr>
  </w:style>
  <w:style w:type="paragraph" w:styleId="3">
    <w:name w:val="heading 2"/>
    <w:next w:val="1"/>
    <w:qFormat/>
    <w:uiPriority w:val="0"/>
    <w:pPr>
      <w:spacing w:before="160" w:after="80" w:line="288" w:lineRule="auto"/>
      <w:outlineLvl w:val="1"/>
    </w:pPr>
    <w:rPr>
      <w:rFonts w:ascii="Inter" w:hAnsi="Inter" w:eastAsia="Noto Sans SC" w:cs="Inter"/>
      <w:b/>
      <w:bCs/>
      <w:sz w:val="22"/>
      <w:szCs w:val="22"/>
    </w:rPr>
  </w:style>
  <w:style w:type="paragraph" w:styleId="4">
    <w:name w:val="heading 3"/>
    <w:next w:val="1"/>
    <w:qFormat/>
    <w:uiPriority w:val="0"/>
    <w:pPr>
      <w:spacing w:line="288" w:lineRule="auto"/>
    </w:pPr>
    <w:rPr>
      <w:rFonts w:ascii="Inter" w:hAnsi="Inter" w:eastAsia="Noto Sans SC" w:cs="Inter"/>
      <w:color w:val="1F4D78"/>
      <w:sz w:val="24"/>
      <w:szCs w:val="24"/>
    </w:rPr>
  </w:style>
  <w:style w:type="paragraph" w:styleId="5">
    <w:name w:val="heading 4"/>
    <w:next w:val="1"/>
    <w:qFormat/>
    <w:uiPriority w:val="0"/>
    <w:pPr>
      <w:spacing w:line="288" w:lineRule="auto"/>
    </w:pPr>
    <w:rPr>
      <w:rFonts w:ascii="Inter" w:hAnsi="Inter" w:eastAsia="Noto Sans SC" w:cs="Inter"/>
      <w:i/>
      <w:iCs/>
      <w:color w:val="2E74B5"/>
      <w:sz w:val="20"/>
      <w:szCs w:val="20"/>
    </w:rPr>
  </w:style>
  <w:style w:type="paragraph" w:styleId="6">
    <w:name w:val="heading 5"/>
    <w:next w:val="1"/>
    <w:qFormat/>
    <w:uiPriority w:val="0"/>
    <w:pPr>
      <w:spacing w:line="288" w:lineRule="auto"/>
    </w:pPr>
    <w:rPr>
      <w:rFonts w:ascii="Inter" w:hAnsi="Inter" w:eastAsia="Noto Sans SC" w:cs="Inter"/>
      <w:color w:val="2E74B5"/>
      <w:sz w:val="20"/>
      <w:szCs w:val="20"/>
    </w:rPr>
  </w:style>
  <w:style w:type="paragraph" w:styleId="7">
    <w:name w:val="heading 6"/>
    <w:next w:val="1"/>
    <w:qFormat/>
    <w:uiPriority w:val="0"/>
    <w:pPr>
      <w:spacing w:line="288" w:lineRule="auto"/>
    </w:pPr>
    <w:rPr>
      <w:rFonts w:ascii="Inter" w:hAnsi="Inter" w:eastAsia="Noto Sans SC" w:cs="Inter"/>
      <w:color w:val="1F4D78"/>
      <w:sz w:val="20"/>
      <w:szCs w:val="20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Inter" w:hAnsi="Inter" w:eastAsia="Noto Sans SC" w:cs="Inter"/>
      <w:sz w:val="20"/>
      <w:szCs w:val="20"/>
    </w:rPr>
  </w:style>
  <w:style w:type="paragraph" w:styleId="9">
    <w:name w:val="footnote text"/>
    <w:link w:val="17"/>
    <w:semiHidden/>
    <w:unhideWhenUsed/>
    <w:uiPriority w:val="99"/>
    <w:pPr>
      <w:spacing w:after="0" w:line="240" w:lineRule="auto"/>
    </w:pPr>
    <w:rPr>
      <w:rFonts w:ascii="Inter" w:hAnsi="Inter" w:eastAsia="Noto Sans SC" w:cs="Inter"/>
      <w:sz w:val="20"/>
      <w:szCs w:val="20"/>
    </w:rPr>
  </w:style>
  <w:style w:type="paragraph" w:styleId="10">
    <w:name w:val="Title"/>
    <w:qFormat/>
    <w:uiPriority w:val="0"/>
    <w:pPr>
      <w:spacing w:line="288" w:lineRule="auto"/>
    </w:pPr>
    <w:rPr>
      <w:rFonts w:ascii="Inter" w:hAnsi="Inter" w:eastAsia="Noto Sans SC" w:cs="Inter"/>
      <w:sz w:val="56"/>
      <w:szCs w:val="56"/>
    </w:rPr>
  </w:style>
  <w:style w:type="character" w:styleId="13">
    <w:name w:val="endnote reference"/>
    <w:semiHidden/>
    <w:unhideWhenUsed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pPr>
      <w:spacing w:line="288" w:lineRule="auto"/>
    </w:pPr>
    <w:rPr>
      <w:rFonts w:ascii="Inter" w:hAnsi="Inter" w:eastAsia="Noto Sans SC" w:cs="Inter"/>
      <w:sz w:val="20"/>
      <w:szCs w:val="20"/>
    </w:rPr>
  </w:style>
  <w:style w:type="character" w:customStyle="1" w:styleId="17">
    <w:name w:val="Footnote Text Char"/>
    <w:link w:val="9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939</Words>
  <Characters>1081</Characters>
  <TotalTime>15</TotalTime>
  <ScaleCrop>false</ScaleCrop>
  <LinksUpToDate>false</LinksUpToDate>
  <CharactersWithSpaces>1158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2026-09-09T09:07:00Z</dcterms:created>
  <dc:creator>Un-named</dc:creator>
  <cp:lastModifiedBy>杨波</cp:lastModifiedBy>
  <dcterms:modified xsi:type="dcterms:W3CDTF">2026-09-09T11:50:16Z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{"Label":"1","ContentProducer":"001191440300708461136T1WFUO","ProduceID":"d9bb1299904b0b36da86f66ed91a776e-i4FC","ReservedCode1":"{\"Type\":\" TC260PG\",\"Version\":1,\"Bindings\":[{\"Type\":\"soft\",\"AlgID\":\"sm3\",\"Value\":\"8025f8612935b5a797d63ac9cf8b6257e0df21984c0e9a149653ed04df64bcc4\"},{\"Type\":\"hash\",\"AlgID\":\"sm3\",\"Value\":\"74694b61a0ddc88395916faea5a17488a49b49944688f35d6a4c89dee04da4b3\"}],\"PubSD\":[{\"Type\":\"DS\",\"AlgID\":\"sm2\",\"TBSData\":{\"Type\":\"Binding\",\"BType\":\"hash\"},\"Signature\":\"304402207247b46e140eb0390f6e7f9c3b0e3ec0677134abfbd45793b0a731625a32119e02204c34ae486065f48075acd24adb7589c7dff3ec55e41067b95f186a3403dd07df\"},{\"Type\":\"PubKey\",\"AlgID\":\"sm2\",\"KeyValue\":\"0407f79b28a17a752b3aae4305c98b48978213832729a2571850b1310b2bc9fe8fee039ccf25ebfeac27502414d9fcef792d777183c98893d226171c2f7a3289a2\"}],\"Extension\":{\"Timestamp\":1788944880,\"KeyVersion\":\"v1-TxLeOmf7bqU223\"}}","ContentPropagator":"001191440300708461136T1WFUO","PropagateID":"d9bb1299904b0b36da86f66ed91a776e-i4FC","ReservedCode2":"{\"Type\":\" TC260PG\",\"Version\":1,\"Bindings\":[{\"Type\":\"soft\",\"AlgID\":\"sm3\",\"Value\":\"8025f8612935b5a797d63ac9cf8b6257e0df21984c0e9a149653ed04df64bcc4\"},{\"Type\":\"hash\",\"AlgID\":\"sm3\",\"Value\":\"74694b61a0ddc88395916faea5a17488a49b49944688f35d6a4c89dee04da4b3\"}],\"PubSD\":[{\"Type\":\"DS\",\"AlgID\":\"sm2\",\"TBSData\":{\"Type\":\"Binding\",\"BType\":\"hash\"},\"Signature\":\"30440220393ba40f2d9326fe4de92b429ef2f542c83979bcf568f7327b4b53059ac8ae7802207a15cc0ec412e0a4949ebea557bbda9c6c763e19a198d47e5f9eddf227fde8ed\"},{\"Type\":\"PubKey\",\"AlgID\":\"sm2\",\"KeyValue\":\"0407f79b28a17a752b3aae4305c98b48978213832729a2571850b1310b2bc9fe8fee039ccf25ebfeac27502414d9fcef792d777183c98893d226171c2f7a3289a2\"}],\"Extension\":{\"Timestamp\":1788944880,\"KeyVersion\":\"v1-TxLeOmf7bqU223\"}}"}</vt:lpwstr>
  </property>
  <property fmtid="{D5CDD505-2E9C-101B-9397-08002B2CF9AE}" pid="3" name="KSOTemplateDocerSaveRecord">
    <vt:lpwstr>eyJoZGlkIjoiNjM4YTBlNDQ3N2FmZjM5NDg5YzY5NDVhZTFlZTQxZmIiLCJ1c2VySWQiOiIyNDczNzQ0MjEifQ==</vt:lpwstr>
  </property>
  <property fmtid="{D5CDD505-2E9C-101B-9397-08002B2CF9AE}" pid="4" name="KSOProductBuildVer">
    <vt:lpwstr>2052-12.1.0.28505</vt:lpwstr>
  </property>
  <property fmtid="{D5CDD505-2E9C-101B-9397-08002B2CF9AE}" pid="5" name="ICV">
    <vt:lpwstr>966EF291DB3F4E42860F7857A31F03D8_12</vt:lpwstr>
  </property>
</Properties>
</file>